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1346200" cy="967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67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Д У М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Лазовского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Приморского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 Е Ш Е Н И Е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sz w:val="22"/>
          <w:szCs w:val="22"/>
          <w:rtl w:val="0"/>
        </w:rPr>
        <w:t xml:space="preserve">Принято Думой Лазовского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sz w:val="22"/>
          <w:szCs w:val="22"/>
          <w:rtl w:val="0"/>
        </w:rPr>
        <w:t xml:space="preserve">муниципального округа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2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 декабря</w:t>
      </w:r>
      <w:r w:rsidDel="00000000" w:rsidR="00000000" w:rsidRPr="00000000">
        <w:rPr>
          <w:sz w:val="22"/>
          <w:szCs w:val="22"/>
          <w:rtl w:val="0"/>
        </w:rPr>
        <w:t xml:space="preserve"> 2023 года</w:t>
      </w:r>
    </w:p>
    <w:p w:rsidR="00000000" w:rsidDel="00000000" w:rsidP="00000000" w:rsidRDefault="00000000" w:rsidRPr="00000000" w14:paraId="0000000B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Порядок определения размера начальной цены предмета аукциона по продаже земельных участков и на право заключения договоров аренды земельных участков, находящихся в собственности Лазовского муниципального округа и земельных участков, государственная собственность на которые не разграничена на территории Лазовского муниципального округа 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57" w:before="0" w:lineRule="auto"/>
        <w:ind w:left="0" w:righ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Настоящий Порядок определения размера начальной цены предмета аукциона по продаже земельных участков и на право заключения договоров аренды земельных участков на территории Лазовского муниципального округа разработан в соответствии </w:t>
      </w: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 с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Земельным кодексом </w:t>
      </w: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Российской Федерации,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Федеральным законом </w:t>
      </w: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от 06 октября 2003 года № 131-ФЗ «Об общих принципах организации местного самоуправления в Российской Федерации»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и устанавливает правила расчета начальной цены предмета аукциона по продаже земельных участков и на право заключения договоров аренды земельных участков, находящихся в собственности Лазовского муниципального округа и земельных участков, государственная собственность на которые не разграничена на территории Лазовского муниципального округа.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Начальная цена предмета аукциона по продаже земельного участка устанавливается в размере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2.1. В случае, если результаты государственной кадастровой оценки утверждены ранее, чем за пять лет до даты принятия решения о проведении аукциона по продаже земельного участка, начальной ценой предмета аукциона по продаже земельного учас</w:t>
      </w: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тка является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2.2. По результатам аукциона по продаже земельного участка определяется цена такого земельного участка.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3. 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земельного участка, если результаты государственной кадастровой оценки утверждены не ранее, чем за пять лет до даты принятия решения о проведении аукциона, за исключением случая, предусмотренного пунктом 4 настоящего Порядка, принимаемая для каждого вида разрешенного использования земельного участка в соответствии с приложением к настоящему Порядку.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12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3.1. В случае, если результаты государственной кадастровой оценки утверждены ранее, чем за пять лет до даты принятия решения о проведении аукциона на право заключения договора аренды земельного участка,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1998 г. № 135-ФЗ «Об оценочной деятельности в Российской Федерации».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3.2. По результатам аукциона на право заключения договора аренды земельного участка определяется ежегодный размер арендной 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4.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законом от 29 июля 1998 г. № 135-ФЗ «Об оценочной деятельности в Российской Федерации».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4.1. По результатам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определяется размер первого арендного платежа.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5. Начальная цена предмета аукциона на право заключения договора аренды земельного участка определяется по формуле: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НЦ = КС x ПС, где: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НЦ - начальная цена предмета аукциона на право заключения договора аренды земельного участка;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КС - кадастровая стоимость земельного участка;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ПС - процентная ставка, рассчитываемая от кадастровой стоимости земельного участка и принимаемая для каждого вида разрешенного использования земельного участка, с учетом его функционального назначения в соответствии с приложением к настоящему Порядку.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6. Настоящий муниципальный правовой акт вступает в силу со дня его официального опубликования.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7" w:before="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54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Глава Лазовского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муниципального округа                                                                                   Ю.А. Мосальский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40"/>
        <w:jc w:val="both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с. Лазо  </w:t>
      </w:r>
    </w:p>
    <w:p w:rsidR="00000000" w:rsidDel="00000000" w:rsidP="00000000" w:rsidRDefault="00000000" w:rsidRPr="00000000" w14:paraId="00000028">
      <w:pPr>
        <w:jc w:val="both"/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20.12.2023 г.</w:t>
      </w:r>
    </w:p>
    <w:p w:rsidR="00000000" w:rsidDel="00000000" w:rsidP="00000000" w:rsidRDefault="00000000" w:rsidRPr="00000000" w14:paraId="00000029">
      <w:pPr>
        <w:jc w:val="both"/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№  458-МПА</w:t>
      </w:r>
    </w:p>
    <w:p w:rsidR="00000000" w:rsidDel="00000000" w:rsidP="00000000" w:rsidRDefault="00000000" w:rsidRPr="00000000" w14:paraId="0000002A">
      <w:pPr>
        <w:jc w:val="both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680"/>
        <w:jc w:val="center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680"/>
        <w:jc w:val="center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680"/>
        <w:jc w:val="center"/>
        <w:rPr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Приложение к Порядку определения размера начальной цены предмета аукциона по продаже земельных участков и на право заключения договоров аренды земельных участков, находящихся в собственности Лазовского муниципального округа и земельных участков, государственная собственность на которые не разграничена на территории Лазовского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680"/>
        <w:jc w:val="center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680"/>
        <w:jc w:val="center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240" w:lineRule="auto"/>
        <w:ind w:firstLine="720"/>
        <w:jc w:val="center"/>
        <w:rPr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Процентные ставки для расчёта начальной цены предмета аукциона на право заключения договоров аренды земельных участков на территории Лазовского муниципального округа</w:t>
      </w:r>
      <w:r w:rsidDel="00000000" w:rsidR="00000000" w:rsidRPr="00000000">
        <w:rPr>
          <w:rtl w:val="0"/>
        </w:rPr>
      </w:r>
    </w:p>
    <w:tbl>
      <w:tblPr>
        <w:tblStyle w:val="Table1"/>
        <w:tblW w:w="10882.0" w:type="dxa"/>
        <w:jc w:val="left"/>
        <w:tblInd w:w="-596.0" w:type="dxa"/>
        <w:tblLayout w:type="fixed"/>
        <w:tblLook w:val="0000"/>
      </w:tblPr>
      <w:tblGrid>
        <w:gridCol w:w="882"/>
        <w:gridCol w:w="6809"/>
        <w:gridCol w:w="3191"/>
        <w:tblGridChange w:id="0">
          <w:tblGrid>
            <w:gridCol w:w="882"/>
            <w:gridCol w:w="6809"/>
            <w:gridCol w:w="3191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Вид разрешенного использования земельных участков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Процентная ставка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размещения домов среднеэтажной и многоэтажной жилой застройки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3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размещения домов малоэтажной жилой застройки, в том числе индивидуальной жилой застройки, для ведения личного подсобного хозяйства в границах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3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размещения гаражей и автостоянок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5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дачного строительства, садоводства и огородничества, для ведения личного подсобного хозяйства за пределами границ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2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размещения объектов торговли, общественного питания, бытового обслуживания (в том числе аптеки, рынки, автозаправочные станции, объекты обслуживания автомобильного транспорта, автосервиса)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9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размещения гостиниц (общежитий и прочих мест для временного проживания)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7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6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размещения объектов спортивного, рекреационного и лечебно-оздоровительного назначения (базы отдыха, санатории, организация личного отдыха, туризм), в том числе: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ind w:firstLine="72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8.1.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Земельные участки, находящиеся в границах водоохранной зоны морских вод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15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8.2.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Земельные участки, используемые для отдыха (рекреации), за исключением земельных участков, указанных в пункте 8.1.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8.3.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widowControl w:val="0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Спорт, охота и рыбалка, поля для гольфа или конных прогулок, за исключением земельных участков, указанных в пункте 8.1.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4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9.1.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Строительная промышленность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7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занятые водными объектами, находящимися в обороте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7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widowControl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Земельные участки, предназначенные для сельскохозяйственного использования, находящиеся в границах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widowControl w:val="0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4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widowControl w:val="0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Земельные участки из состава земель сельскохозяйственного назначения, находящиеся за пределами границ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14.1.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jc w:val="left"/>
              <w:rPr>
                <w:b w:val="0"/>
                <w:color w:val="000000"/>
                <w:u w:val="none"/>
              </w:rPr>
            </w:pPr>
            <w:r w:rsidDel="00000000" w:rsidR="00000000" w:rsidRPr="00000000">
              <w:rPr>
                <w:b w:val="0"/>
                <w:color w:val="000000"/>
                <w:u w:val="none"/>
                <w:rtl w:val="0"/>
              </w:rPr>
              <w:t xml:space="preserve">Пчеловодство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9" w:top="736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firstLine="72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