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2550"/>
                <w:tab w:val="center" w:pos="4896"/>
              </w:tabs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ab/>
            </w:r>
            <w:r>
              <w:rPr>
                <w:rFonts w:hint="default" w:ascii="Times New Roman" w:hAnsi="Times New Roman" w:cs="Times New Roman"/>
              </w:rPr>
              <w:tab/>
            </w:r>
            <w:r>
              <w:rPr>
                <w:rFonts w:hint="default" w:ascii="Times New Roman" w:hAnsi="Times New Roman" w:cs="Times New Roma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</w:rPr>
              <w:object>
                <v:shape id="_x0000_i1025" o:spt="75" type="#_x0000_t75" style="height:75.75pt;width:105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rotation="t" aspectratio="t"/>
                  <w10:wrap type="none"/>
                  <w10:anchorlock/>
                </v:shape>
                <o:OLEObject Type="Embed" ProgID="MSPhotoEd.3" ShapeID="_x0000_i1025" DrawAspect="Content" ObjectID="_1468075725" r:id="rId6">
                  <o:LockedField>false</o:LockedField>
                </o:OLEObject>
              </w:objec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  <w:p>
            <w:pPr>
              <w:jc w:val="center"/>
              <w:rPr>
                <w:rFonts w:hint="default" w:ascii="Times New Roman" w:hAnsi="Times New Roman" w:eastAsia="Batang" w:cs="Times New Roman"/>
                <w:b/>
                <w:sz w:val="32"/>
                <w:szCs w:val="36"/>
              </w:rPr>
            </w:pPr>
            <w:r>
              <w:rPr>
                <w:rFonts w:hint="default" w:ascii="Times New Roman" w:hAnsi="Times New Roman" w:eastAsia="Batang" w:cs="Times New Roman"/>
                <w:b/>
                <w:sz w:val="32"/>
                <w:szCs w:val="36"/>
              </w:rPr>
              <w:t>Д У М А</w:t>
            </w:r>
          </w:p>
          <w:p>
            <w:pPr>
              <w:jc w:val="center"/>
              <w:rPr>
                <w:rFonts w:hint="default" w:ascii="Times New Roman" w:hAnsi="Times New Roman" w:eastAsia="Batang" w:cs="Times New Roman"/>
                <w:b/>
                <w:szCs w:val="32"/>
              </w:rPr>
            </w:pPr>
            <w:r>
              <w:rPr>
                <w:rFonts w:hint="default" w:ascii="Times New Roman" w:hAnsi="Times New Roman" w:eastAsia="Batang" w:cs="Times New Roman"/>
                <w:b/>
                <w:szCs w:val="32"/>
              </w:rPr>
              <w:t>Лазовского муниципального округа</w:t>
            </w:r>
          </w:p>
          <w:p>
            <w:pPr>
              <w:jc w:val="center"/>
              <w:rPr>
                <w:rFonts w:hint="default" w:ascii="Times New Roman" w:hAnsi="Times New Roman" w:eastAsia="Batang" w:cs="Times New Roman"/>
                <w:b/>
                <w:szCs w:val="32"/>
              </w:rPr>
            </w:pPr>
            <w:r>
              <w:rPr>
                <w:rFonts w:hint="default" w:ascii="Times New Roman" w:hAnsi="Times New Roman" w:eastAsia="Batang" w:cs="Times New Roman"/>
                <w:b/>
                <w:szCs w:val="32"/>
              </w:rPr>
              <w:t>Приморского края</w:t>
            </w:r>
          </w:p>
          <w:p>
            <w:pPr>
              <w:jc w:val="center"/>
              <w:rPr>
                <w:rFonts w:hint="default" w:ascii="Times New Roman" w:hAnsi="Times New Roman" w:eastAsia="Batang" w:cs="Times New Roman"/>
                <w:b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Batang" w:cs="Times New Roman"/>
                <w:b/>
                <w:sz w:val="32"/>
                <w:szCs w:val="36"/>
              </w:rPr>
            </w:pPr>
            <w:r>
              <w:rPr>
                <w:rFonts w:hint="default" w:ascii="Times New Roman" w:hAnsi="Times New Roman" w:eastAsia="Batang" w:cs="Times New Roman"/>
                <w:b/>
                <w:sz w:val="32"/>
                <w:szCs w:val="36"/>
              </w:rPr>
              <w:t>ПРОЕКТ Р Е Ш Е Н И Я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186"/>
        <w:tabs>
          <w:tab w:val="center" w:pos="4749"/>
        </w:tabs>
        <w:ind w:left="-14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</w:t>
      </w:r>
    </w:p>
    <w:p>
      <w:pPr>
        <w:pStyle w:val="186"/>
        <w:tabs>
          <w:tab w:val="center" w:pos="4749"/>
        </w:tabs>
        <w:ind w:left="-14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Принято Думой Лазовского</w:t>
      </w:r>
    </w:p>
    <w:p>
      <w:pPr>
        <w:pStyle w:val="186"/>
        <w:tabs>
          <w:tab w:val="clear" w:pos="4677"/>
          <w:tab w:val="clear" w:pos="9355"/>
        </w:tabs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муниципального округа</w:t>
      </w:r>
    </w:p>
    <w:p>
      <w:pPr>
        <w:pStyle w:val="186"/>
        <w:tabs>
          <w:tab w:val="clear" w:pos="4677"/>
          <w:tab w:val="clear" w:pos="9355"/>
        </w:tabs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86"/>
        <w:tabs>
          <w:tab w:val="center" w:pos="4749"/>
        </w:tabs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>О бюджете Лазовского муниципального округа на 2024 год и плановый период 2025 и 2026 годов</w:t>
      </w:r>
    </w:p>
    <w:p>
      <w:pPr>
        <w:pStyle w:val="186"/>
        <w:tabs>
          <w:tab w:val="clear" w:pos="4677"/>
          <w:tab w:val="clear" w:pos="9355"/>
        </w:tabs>
        <w:jc w:val="righ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</w:t>
      </w:r>
    </w:p>
    <w:p>
      <w:pPr>
        <w:pStyle w:val="186"/>
        <w:tabs>
          <w:tab w:val="clear" w:pos="4677"/>
          <w:tab w:val="clear" w:pos="9355"/>
        </w:tabs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86"/>
        <w:tabs>
          <w:tab w:val="clear" w:pos="4677"/>
          <w:tab w:val="clear" w:pos="9355"/>
        </w:tabs>
        <w:jc w:val="right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bookmarkStart w:id="0" w:name="OLE_LINK1"/>
      <w:r>
        <w:rPr>
          <w:rFonts w:hint="default" w:ascii="Times New Roman" w:hAnsi="Times New Roman" w:cs="Times New Roman"/>
          <w:sz w:val="26"/>
          <w:szCs w:val="26"/>
        </w:rPr>
        <w:t>Настоящее Решение в соответствии с Федеральным законом от 06.10.2003 № 131-ФЗ «Об общих принципах организации местного самоуправления в Российской Федерации», Уставом Лазовского му</w:t>
      </w:r>
      <w:bookmarkStart w:id="1" w:name="_GoBack"/>
      <w:bookmarkEnd w:id="1"/>
      <w:r>
        <w:rPr>
          <w:rFonts w:hint="default" w:ascii="Times New Roman" w:hAnsi="Times New Roman" w:cs="Times New Roman"/>
          <w:sz w:val="26"/>
          <w:szCs w:val="26"/>
        </w:rPr>
        <w:t>ниципального района, определяет формирование бюджета Лазовского муниципального округа на 2024 год и плановый период 2025 и 2026 годов.</w:t>
      </w:r>
    </w:p>
    <w:p>
      <w:pPr>
        <w:shd w:val="clear" w:color="auto" w:fill="FFFFFF"/>
        <w:tabs>
          <w:tab w:val="left" w:pos="9639"/>
        </w:tabs>
        <w:ind w:firstLine="540"/>
        <w:jc w:val="both"/>
        <w:rPr>
          <w:rFonts w:hint="default" w:ascii="Times New Roman" w:hAnsi="Times New Roman" w:cs="Times New Roman"/>
          <w:bCs/>
          <w:iCs/>
          <w:sz w:val="26"/>
          <w:szCs w:val="26"/>
        </w:rPr>
      </w:pPr>
    </w:p>
    <w:p>
      <w:pPr>
        <w:pStyle w:val="186"/>
        <w:ind w:firstLine="680"/>
        <w:jc w:val="both"/>
        <w:rPr>
          <w:rFonts w:hint="default" w:ascii="Times New Roman" w:hAnsi="Times New Roman" w:cs="Times New Roman"/>
          <w:b/>
          <w:sz w:val="26"/>
          <w:szCs w:val="26"/>
        </w:rPr>
      </w:pP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caps/>
          <w:sz w:val="26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6"/>
          <w:szCs w:val="28"/>
        </w:rPr>
        <w:t xml:space="preserve">1. </w:t>
      </w:r>
      <w:r>
        <w:rPr>
          <w:rFonts w:hint="default" w:ascii="Times New Roman" w:hAnsi="Times New Roman" w:cs="Times New Roman"/>
          <w:sz w:val="26"/>
          <w:szCs w:val="28"/>
        </w:rPr>
        <w:t>ОСНОВНЫЕ ХАРАКТЕРИСТИКИ И ИНЫЕ ПОКАЗАТЕЛИ БЮДЖЕТА ЛАЗОВСКОГО МУНИЦИПАЛЬНОГО ОКРУГА НА 202</w:t>
      </w:r>
      <w:r>
        <w:rPr>
          <w:rFonts w:hint="default" w:ascii="Times New Roman" w:hAnsi="Times New Roman" w:cs="Times New Roman"/>
          <w:sz w:val="26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6"/>
          <w:szCs w:val="28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6"/>
          <w:szCs w:val="28"/>
          <w:lang w:val="en-US"/>
        </w:rPr>
        <w:t>5</w:t>
      </w:r>
      <w:r>
        <w:rPr>
          <w:rFonts w:hint="default" w:ascii="Times New Roman" w:hAnsi="Times New Roman" w:cs="Times New Roman"/>
          <w:sz w:val="26"/>
          <w:szCs w:val="28"/>
        </w:rPr>
        <w:t xml:space="preserve"> и 202</w:t>
      </w:r>
      <w:r>
        <w:rPr>
          <w:rFonts w:hint="default" w:ascii="Times New Roman" w:hAnsi="Times New Roman" w:cs="Times New Roman"/>
          <w:sz w:val="26"/>
          <w:szCs w:val="28"/>
          <w:lang w:val="en-US"/>
        </w:rPr>
        <w:t>6</w:t>
      </w:r>
      <w:r>
        <w:rPr>
          <w:rFonts w:hint="default" w:ascii="Times New Roman" w:hAnsi="Times New Roman" w:cs="Times New Roman"/>
          <w:sz w:val="26"/>
          <w:szCs w:val="28"/>
        </w:rPr>
        <w:t xml:space="preserve"> ГОДОВ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1.1. Утвердить основные характеристики бюджета Лазовского муниципального округа на 2024 год:</w:t>
      </w: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1) общий объем доходов бюджета Лазовского муниципального округа - в сумме 596 470 087,90 рублей;</w:t>
      </w: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2) общий объем расходов бюджета Лазовского муниципального округа - в сумме 609 470 087,90 рублей;</w:t>
      </w:r>
    </w:p>
    <w:p>
      <w:pPr>
        <w:spacing w:line="360" w:lineRule="auto"/>
        <w:ind w:firstLine="851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8"/>
        </w:rPr>
        <w:t>3) размер дефицита бюджета Лазовского муниципального округа - в сумме 13 000 000,00 рублей;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1.2.  Утвердить основные характеристики бюджета Лазовского муниципального округа на 2025 год и 2026 год: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1) прогнозируемый общий объем доходов бюджета Лазовского муниципального округа на 2025 год - в сумме 525 588 842,00 рублей, в том числе объем безвозмездных поступлений от других бюджетов бюджетной системы Российской Федерации – в сумме 394 884 288,00 рублей, на 2026 год - в сумме </w:t>
      </w:r>
      <w:r>
        <w:rPr>
          <w:rFonts w:hint="default" w:ascii="Times New Roman" w:hAnsi="Times New Roman" w:eastAsia="Calibri" w:cs="Times New Roman"/>
          <w:sz w:val="26"/>
          <w:szCs w:val="26"/>
        </w:rPr>
        <w:br w:type="textWrapping" w:clear="all"/>
      </w:r>
      <w:r>
        <w:rPr>
          <w:rFonts w:hint="default" w:ascii="Times New Roman" w:hAnsi="Times New Roman" w:eastAsia="Calibri" w:cs="Times New Roman"/>
          <w:sz w:val="26"/>
          <w:szCs w:val="26"/>
        </w:rPr>
        <w:t>533 153 936,22 рублей, в том числе объем безвозмездных поступлений от других бюджетов бюджетной системы Российской Федерации – в сумме 400 905 946,65 рублей;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2) общий объем расходов бюджета Лазовского муниципального округа на 2025 год - в сумме 525 588 842,00 рублей, в том числе условно утвержденные расходы – в сумме 6 750 000,00 рублей, на 2026 год – в сумме 533 153 936,22 рублей, в том числе условно утвержденные расходы – в сумме 13 550 000,00 рублей;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3)  </w:t>
      </w:r>
      <w:r>
        <w:rPr>
          <w:rFonts w:hint="default" w:ascii="Times New Roman" w:hAnsi="Times New Roman" w:cs="Times New Roman"/>
          <w:sz w:val="26"/>
          <w:szCs w:val="26"/>
        </w:rPr>
        <w:t>размер дефицита бюджета</w:t>
      </w:r>
      <w:r>
        <w:rPr>
          <w:rFonts w:hint="default" w:ascii="Times New Roman" w:hAnsi="Times New Roman" w:cs="Times New Roman"/>
          <w:sz w:val="26"/>
          <w:szCs w:val="28"/>
        </w:rPr>
        <w:t xml:space="preserve"> Лазовского муниципального округа на 2025 год - в сумме 0,00 рублей, на 2026 год – в сумме 0,00 рублей.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1.3.  Установить иные показатели бюджета Лазовского муниципального округа на 2024 год и плановый период 2025 и 2026 годов: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1)  источники внутреннего финансирования дефицита бюджета Лазовского муниципального округа согласно приложению 1 к настоящему решению;</w:t>
      </w:r>
    </w:p>
    <w:p>
      <w:pPr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8"/>
        </w:rPr>
        <w:t>2)  </w:t>
      </w:r>
      <w:r>
        <w:rPr>
          <w:rFonts w:hint="default" w:ascii="Times New Roman" w:hAnsi="Times New Roman" w:cs="Times New Roman"/>
          <w:sz w:val="26"/>
          <w:szCs w:val="26"/>
        </w:rPr>
        <w:t>верхний предел муниципального долга Лазовского муниципального округа на 1 января 2025 года в сумме - 0 рублей, на 1 января 2026 года в сумме – 0 рублей, на 1 января 2027 года в сумме – 0 рублей.</w:t>
      </w:r>
    </w:p>
    <w:p>
      <w:pPr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1.4. Утвердить программу муниципальных внутренних заимствований Лазовского муниципального округа согласно приложению 2 к настоящему решению.</w:t>
      </w:r>
    </w:p>
    <w:p>
      <w:pPr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8"/>
        </w:rPr>
      </w:pPr>
      <w:r>
        <w:rPr>
          <w:rFonts w:hint="default" w:ascii="Times New Roman" w:hAnsi="Times New Roman" w:cs="Times New Roman"/>
          <w:sz w:val="26"/>
          <w:szCs w:val="28"/>
        </w:rPr>
        <w:t>1.5.  Установить общий объем бюджетных ассигнований на исполнение публичных нормативных обязательств Лазовского муниципального округа согласно приложению 3 к настоящему решению.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spacing w:line="360" w:lineRule="auto"/>
        <w:ind w:firstLine="709"/>
        <w:jc w:val="both"/>
        <w:outlineLvl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2. ФОРМИРОВАНИЕ ДОХОДОВ БЮДЖЕТА ЛАЗОВСКОГО МУНИЦИПАЛЬНОГО ОКРУГА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2.1.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 xml:space="preserve">Установить, что доходы бюджета Лазовского муниципального округа, поступающие в 2024 году, формируются за счет: 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доходов от уплаты федеральных налогов и сборов, в том числе от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Федерации, законодательством Приморского края и законодательством о налогах и сборах;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доходов от уплаты местных налогов, установленных решениями представительных органов местного самоуправления, в соответствии с законодательством о налогах и сборах;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законодательством Приморского края, решениями Думы Лазовского муниципального округа, в том числе за счет: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прочих доходов от оказания платных услуг (работ) получателями средств бюджетов муниципальных округов – по нормативу 100 процентов;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муниципальных округов – по нормативу 100 процентов;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прочих доходов от компенсации затрат бюджетов муниципальных округов – по нормативу 100 процентов;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доходов в виде безвозмездных поступлений - по нормативу 100 процентов;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прочих неналоговых доходов бюджетов муниципальных округов - по нормативу 100 процентов;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невыясненных поступлений, зачисляемых в бюджеты муниципальных округов – по нормативу 100 процентов.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2.2.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Установить, что в доходы бюджета Лазовского муниципального округа зачисляются: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средства, поступающие на лицевые счета получателей средств бюджета Лазовского муниципального округа в погашение дебиторской задолженности прошлых лет - в размере 100 процентов доходов.</w:t>
      </w:r>
    </w:p>
    <w:p>
      <w:pPr>
        <w:widowControl w:val="0"/>
        <w:ind w:firstLine="709"/>
        <w:jc w:val="both"/>
        <w:outlineLvl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3</w:t>
      </w:r>
      <w:r>
        <w:rPr>
          <w:rFonts w:hint="default" w:ascii="Times New Roman" w:hAnsi="Times New Roman" w:cs="Times New Roman"/>
          <w:sz w:val="26"/>
          <w:szCs w:val="26"/>
        </w:rPr>
        <w:t>. ОБЪЕМЫ ДОХОДОВ БЮДЖЕТА ЛАЗОВСКОГО МУНИЦИПАЛЬНОГО ОКРУГА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  <w:highlight w:val="yellow"/>
        </w:rPr>
      </w:pP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Учесть в бюджете Лазовского муниципального округа на 2024 год и плановый период 2025 и 2026 годов доходы в объемах согласно приложению 4 к настоящему решению.</w:t>
      </w:r>
    </w:p>
    <w:p>
      <w:pPr>
        <w:widowControl w:val="0"/>
        <w:spacing w:before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aps/>
          <w:sz w:val="26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6"/>
          <w:szCs w:val="28"/>
        </w:rPr>
        <w:t>4</w:t>
      </w:r>
      <w:r>
        <w:rPr>
          <w:rFonts w:hint="default" w:ascii="Times New Roman" w:hAnsi="Times New Roman" w:cs="Times New Roman"/>
          <w:sz w:val="26"/>
          <w:szCs w:val="24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ДОРОЖНЫЙ ФОНД ЛАЗОВСКОГО МУНИЦИПАЛЬНОГО ОКРУГА</w:t>
      </w:r>
    </w:p>
    <w:p>
      <w:pPr>
        <w:widowControl w:val="0"/>
        <w:spacing w:before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Утвердить объем бюджетных ассигнований дорожного фонда Лазовского муниципального округа на 2024 год в размере 12 310 000,00 рублей, на плановый период 2025 и 2026 годов – в размере соответственно 12 310 000,00 рублей и 12 310 000,00 рублей.</w:t>
      </w:r>
    </w:p>
    <w:p>
      <w:pPr>
        <w:widowControl w:val="0"/>
        <w:spacing w:before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aps/>
          <w:sz w:val="26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6"/>
          <w:szCs w:val="28"/>
        </w:rPr>
        <w:t>5</w:t>
      </w:r>
      <w:r>
        <w:rPr>
          <w:rFonts w:hint="default" w:ascii="Times New Roman" w:hAnsi="Times New Roman" w:cs="Times New Roman"/>
          <w:sz w:val="26"/>
          <w:szCs w:val="24"/>
        </w:rPr>
        <w:t xml:space="preserve">. </w:t>
      </w:r>
      <w:r>
        <w:rPr>
          <w:rFonts w:hint="default" w:ascii="Times New Roman" w:hAnsi="Times New Roman" w:cs="Times New Roman"/>
          <w:sz w:val="26"/>
          <w:szCs w:val="26"/>
        </w:rPr>
        <w:t>ОСОБЕННОСТИ ЗАЧИСЛЕНИЯ СРЕДСТВ, ПОСТУПАЮЩИХ ВО ВРЕМЕННОЕ РАСПОРЯЖЕНИЕ МУНИЦИПАЛЬНЫМ УЧРЕЖДЕНИЯМ И ОРГАНАМ МЕСТНОГО САМОУПРАВЛЕНИЯ ЛАЗОВСКОГО МУНИЦИПАЛЬНОГО ОКРУГА</w:t>
      </w:r>
    </w:p>
    <w:p>
      <w:pPr>
        <w:widowControl w:val="0"/>
        <w:spacing w:before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казенным, бюджетным и автономным учреждениям, органам местного самоуправления Лазовского муниципального округа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Лазовского муниципального округа учитываются на лицевых счетах, открытых ими в территориальном органе Федерального казначейства.</w:t>
      </w:r>
    </w:p>
    <w:p>
      <w:pPr>
        <w:widowControl w:val="0"/>
        <w:spacing w:after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caps/>
          <w:sz w:val="26"/>
          <w:szCs w:val="26"/>
        </w:rPr>
        <w:t>Статья 6</w:t>
      </w:r>
      <w:r>
        <w:rPr>
          <w:rFonts w:hint="default" w:ascii="Times New Roman" w:hAnsi="Times New Roman" w:cs="Times New Roman"/>
          <w:sz w:val="26"/>
          <w:szCs w:val="26"/>
        </w:rPr>
        <w:t>. ОСОБЕННОСТИ ИСПОЛЬЗОВАНИЯ СРЕДСТВ, ПРЕДОСТАВЛЯЕМЫХ ОТДЕЛЬНЫМ ЮРИДИЧЕСКИМ ЛИЦАМ И ИНДИВИДУАЛЬНЫМ ПРЕДПРИНИМАТЕЛЯМ</w:t>
      </w:r>
    </w:p>
    <w:p>
      <w:pPr>
        <w:widowControl w:val="0"/>
        <w:spacing w:after="120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Казначейское сопровождение средств, предоставляемых из бюджета Лазовского муниципального округа, осуществляется территориальным органом Федерального казначейства при осуществлении им отдельных функций финансового органа Приморского края в соответствии со статьей 220(2) Бюджетного кодекса Российской Федерации.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caps/>
          <w:sz w:val="26"/>
          <w:szCs w:val="28"/>
        </w:rPr>
      </w:pP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caps/>
          <w:sz w:val="26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6"/>
          <w:szCs w:val="28"/>
        </w:rPr>
        <w:t>7</w:t>
      </w:r>
      <w:r>
        <w:rPr>
          <w:rFonts w:hint="default" w:ascii="Times New Roman" w:hAnsi="Times New Roman" w:cs="Times New Roman"/>
          <w:sz w:val="26"/>
          <w:szCs w:val="24"/>
        </w:rPr>
        <w:t>. БЮДЖЕТНЫЕ АССИГНОВАНИЯ БЮДЖЕТА ЛАЗОВСКОГО МУНИЦИПАЛЬНОГО ОКРУГА НА 202</w:t>
      </w:r>
      <w:r>
        <w:rPr>
          <w:rFonts w:hint="default" w:ascii="Times New Roman" w:hAnsi="Times New Roman" w:cs="Times New Roman"/>
          <w:sz w:val="26"/>
          <w:szCs w:val="24"/>
          <w:lang w:val="en-US"/>
        </w:rPr>
        <w:t>4</w:t>
      </w:r>
      <w:r>
        <w:rPr>
          <w:rFonts w:hint="default" w:ascii="Times New Roman" w:hAnsi="Times New Roman" w:cs="Times New Roman"/>
          <w:sz w:val="26"/>
          <w:szCs w:val="24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6"/>
          <w:szCs w:val="24"/>
          <w:lang w:val="en-US"/>
        </w:rPr>
        <w:t>5</w:t>
      </w:r>
      <w:r>
        <w:rPr>
          <w:rFonts w:hint="default" w:ascii="Times New Roman" w:hAnsi="Times New Roman" w:cs="Times New Roman"/>
          <w:sz w:val="26"/>
          <w:szCs w:val="24"/>
        </w:rPr>
        <w:t xml:space="preserve"> И 202</w:t>
      </w:r>
      <w:r>
        <w:rPr>
          <w:rFonts w:hint="default" w:ascii="Times New Roman" w:hAnsi="Times New Roman" w:cs="Times New Roman"/>
          <w:sz w:val="26"/>
          <w:szCs w:val="24"/>
          <w:lang w:val="en-US"/>
        </w:rPr>
        <w:t>6</w:t>
      </w:r>
      <w:r>
        <w:rPr>
          <w:rFonts w:hint="default" w:ascii="Times New Roman" w:hAnsi="Times New Roman" w:cs="Times New Roman"/>
          <w:sz w:val="26"/>
          <w:szCs w:val="24"/>
        </w:rPr>
        <w:t xml:space="preserve"> ГОДОВ</w:t>
      </w:r>
    </w:p>
    <w:bookmarkEnd w:id="0"/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7.1.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Утвердить в пределах общего объема расходов, установленного частью 1.1 статьи 1 настоящего решения, распределение бюджетных ассигнований из бюджета Лазовского муниципального округа на 2024 год и плановый период 2025 и 2026 годов по разделам, подразделам, целевым статьям (муниципальным программам Лазовского муниципального округа и непрограммным направлениям деятельности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6"/>
          <w:szCs w:val="24"/>
        </w:rPr>
        <w:t>органов местного самоуправления), группам (группам и подгруппам) видов расходов классификации расходов бюджета согласно приложению 5 к настоящему решению.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7.2.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Утвердить распределение бюджетных ассигнований из бюджета Лазовского муниципального округа на 2024 год и плановый период 2025 и 2026 годов в ведомственной структуре расходов бюджета Лазовского муниципального округа согласно приложению 6 к настоящему решению.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7.3.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Утвердить распределение бюджетных ассигнований из бюджета Лазовского муниципального округа на 2024 год и плановый период 2025 и 2026 годов по муниципальным программам Лазовского муниципального округа и непрограммным направлениям деятельности органов местного самоуправления, согласно приложению 7 к настоящему решению.</w:t>
      </w:r>
    </w:p>
    <w:p>
      <w:pPr>
        <w:spacing w:line="360" w:lineRule="auto"/>
        <w:ind w:firstLine="920"/>
        <w:jc w:val="both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7.4.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Лазовского муниципального округа, предоставляются в порядке, установленном администрацией муниципального округа, в следующих случаях: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1)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 xml:space="preserve">субъектам малого и среднего предпринимательства, производящим и реализующим товары (работы, услуги); 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2)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организациям - на возмещение недополученных доходов транспортным предприятиям, возникающим в связи с регулированием тарифов на перевозки пассажиров;</w:t>
      </w:r>
    </w:p>
    <w:p>
      <w:pPr>
        <w:spacing w:line="360" w:lineRule="auto"/>
        <w:ind w:firstLine="92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3)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Лазовского муниципального округа;</w:t>
      </w:r>
    </w:p>
    <w:p>
      <w:pPr>
        <w:spacing w:line="360" w:lineRule="auto"/>
        <w:ind w:firstLine="920"/>
        <w:jc w:val="both"/>
        <w:rPr>
          <w:rFonts w:hint="default" w:ascii="Times New Roman" w:hAnsi="Times New Roman" w:cs="Times New Roman"/>
          <w:b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4) возмещения затрат в связи с осуществлением деятельности по управлению многоквартирными домами.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7.5. Установить, что из бюджета Лазовского муниципального округа могут предоставляться гранты в форме субсидий юридическим лицам, индивидуальным предпринимателям, физическим лицам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Лазовского муниципального округа»: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в связи с оказанием услуг по реализации дополнительных образовательных программ в рамках системы персонифицированного финансирования.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 xml:space="preserve">8. ОБ УВЕЛИЧЕНИИ (ИНДЕКСАЦИИ) ОПЛАТЫ ТРУДА </w:t>
      </w:r>
    </w:p>
    <w:p>
      <w:pPr>
        <w:widowControl w:val="0"/>
        <w:spacing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8.1.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 xml:space="preserve">Установить, что повышение труда отдельных категорий работников муниципальных учреждений, определенных Указами Президента Российской 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2012-2017 годы, от 28 декабря 2012 года № 1688 «О некоторых мерах по реализации государственной политике в сфере защиты детей-сирот и детей, оставшихся без попечения родителей», повышение оплаты труда отдельных категорий работников муниципальных учреждений осуществляется в 2024 году в соответствии с темпами роста средней заработной платы, установленными планами мероприятий («дорожными картами») изменений в отраслях бюджетной сферы, утвержденными распоряжением администрации Лазовского муниципального округа. 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4"/>
        </w:rPr>
        <w:t xml:space="preserve">8.2. </w:t>
      </w:r>
      <w:r>
        <w:rPr>
          <w:rFonts w:hint="default" w:ascii="Times New Roman" w:hAnsi="Times New Roman" w:cs="Times New Roman"/>
          <w:sz w:val="26"/>
          <w:szCs w:val="26"/>
        </w:rPr>
        <w:t>Провести с 1 октября 2024 года, с 1 октября 2025 года, с 1 октября 2026 года индексацию путем увеличения в 1,04 раза: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1)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размеров окладов (ставок заработной платы),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2)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размеров ежемесячного денежного вознаграждения лиц, замещающих муниципальные должности Лазовского муниципального округа, главы Лазовского муниципального округа;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3)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размеров окладов месячного денежного содержания по должностям муниципальной службы Лазовского муниципального округа;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z w:val="26"/>
          <w:szCs w:val="24"/>
        </w:rPr>
        <w:t>4)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4"/>
        </w:rPr>
        <w:t>размеров должностных окладов работников, замещающих должности, не являющиеся должностями муниципальной службы Лазовского муниципального округа.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6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6"/>
          <w:szCs w:val="28"/>
        </w:rPr>
        <w:t xml:space="preserve">9. </w:t>
      </w:r>
      <w:r>
        <w:rPr>
          <w:rFonts w:hint="default" w:ascii="Times New Roman" w:hAnsi="Times New Roman" w:cs="Times New Roman"/>
          <w:sz w:val="24"/>
          <w:szCs w:val="24"/>
        </w:rPr>
        <w:t>ОСОБЕННОСТИ ИСПОЛНЕНИЯ БЮДЖЕТА ЛАЗОВСКОГО МУНИЦИПАЛЬНОГО ОКРУГА В 202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ГОДУ</w:t>
      </w:r>
    </w:p>
    <w:p>
      <w:pPr>
        <w:widowControl w:val="0"/>
        <w:spacing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9.1.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Установить, что в соответствии с пунктом 3 статьи 217 Бюджетного кодекса Российской Федерации решениями руководителя финансового органа могут быть внесены изменения в показатели сводной бюджетной росписи бюджета Лазовского муниципального округа в 2024 году, связанные с особенностями исполнения бюджета Лазовского муниципального округа и (или) перераспределения бюджетных ассигнований между главными распорядителями средств бюджета Лазовского муниципального округа без внесения изменений в решение Думы Лазовского муниципального округа о бюджете Лазовского муниципального округа, по следующим основаниям: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перераспределение бюджетных ассигнований между главными распорядителями,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Лазовского муниципального округа решений о внесении изменений в утвержденные муниципальные программы Лазовского муниципального округа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Лазовского муниципального округа;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hint="default" w:ascii="Times New Roman" w:hAnsi="Times New Roman" w:cs="Times New Roman"/>
          <w:sz w:val="25"/>
          <w:szCs w:val="25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по целевой статье, предусмотренных главному распорядителю средств бюджета Лазовского муниципального округа в текущем финансовом году;</w:t>
      </w: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szCs w:val="28"/>
        </w:rPr>
        <w:t xml:space="preserve">- </w:t>
      </w:r>
      <w:r>
        <w:rPr>
          <w:rFonts w:hint="default" w:ascii="Times New Roman" w:hAnsi="Times New Roman" w:cs="Times New Roman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Лазовского муниципального округа в текущем финансовом году на содержание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перераспределение бюджетных ассигнований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бюджета Лазовского муниципального округа на указанные цели;</w:t>
      </w:r>
    </w:p>
    <w:p>
      <w:pPr>
        <w:spacing w:before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- </w:t>
      </w:r>
      <w:r>
        <w:rPr>
          <w:rFonts w:hint="default" w:ascii="Times New Roman" w:hAnsi="Times New Roman" w:eastAsia="Calibri" w:cs="Times New Roman"/>
          <w:sz w:val="26"/>
          <w:szCs w:val="26"/>
        </w:rPr>
        <w:t>исполнение судебных актов, предусматривающих обращение взыскания на средства бюджета Лазовского муниципального округа и (или) предусматривающих перечисление этих средств в счет оплаты судебных издержек, увеличение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обязательствам;</w:t>
      </w:r>
    </w:p>
    <w:p>
      <w:pPr>
        <w:spacing w:before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- использование (перераспределение) средств резервных фондов, а также средств, иным образом зарезервированных в составе утвержденных бюджетных ассигнований;</w:t>
      </w: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- перераспределение бюджетных ассигнований, предусмотренных на оплату труда работников органов местного самоуправления Лазовского муниципального округа, в случае принятия решений об изменении численности работников этих органов;</w:t>
      </w:r>
    </w:p>
    <w:p>
      <w:pPr>
        <w:spacing w:line="360" w:lineRule="auto"/>
        <w:ind w:firstLine="851"/>
        <w:jc w:val="both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-</w:t>
      </w:r>
      <w:r>
        <w:rPr>
          <w:rFonts w:hint="default" w:ascii="Times New Roman" w:hAnsi="Times New Roman" w:eastAsia="Calibri" w:cs="Times New Roman"/>
          <w:sz w:val="26"/>
          <w:szCs w:val="26"/>
        </w:rPr>
        <w:t xml:space="preserve"> получение уведомления о предоставлении субсидий, субвенций, иных межбюджетных трансфертов, имеющих целевое назначение, и получение безвозмездных поступлений от физических и юридических лиц сверх объемов, предусмотренных решением о бюджете, а также в случае сокращения (возврата при отсутствии потребности) указанных межбюджетных трансфертов;</w:t>
      </w:r>
    </w:p>
    <w:p>
      <w:pPr>
        <w:spacing w:before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>-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>
      <w:pPr>
        <w:spacing w:before="120" w:line="360" w:lineRule="auto"/>
        <w:ind w:firstLine="709"/>
        <w:jc w:val="both"/>
        <w:rPr>
          <w:rFonts w:hint="default" w:ascii="Times New Roman" w:hAnsi="Times New Roman" w:eastAsia="Calibri" w:cs="Times New Roman"/>
          <w:sz w:val="26"/>
          <w:szCs w:val="26"/>
        </w:rPr>
      </w:pPr>
      <w:r>
        <w:rPr>
          <w:rFonts w:hint="default" w:ascii="Times New Roman" w:hAnsi="Times New Roman" w:eastAsia="Calibri" w:cs="Times New Roman"/>
          <w:sz w:val="26"/>
          <w:szCs w:val="26"/>
        </w:rPr>
        <w:t xml:space="preserve">- </w:t>
      </w:r>
      <w:r>
        <w:rPr>
          <w:rFonts w:hint="default" w:ascii="Times New Roman" w:hAnsi="Times New Roman" w:cs="Times New Roman"/>
          <w:sz w:val="26"/>
          <w:szCs w:val="26"/>
        </w:rPr>
        <w:t>перераспределение бюджетных ассигнований в связи с изменением кода целевой статьи для отражения расходов бюджета Лазовского муниципального округа, в целях софинансирования которых бюджету Лазовского муниципального округа предоставляются межбюджетные субсидии, распределяемые из бюджета Приморского края в течение финансового года</w:t>
      </w:r>
      <w:r>
        <w:rPr>
          <w:rFonts w:hint="default" w:ascii="Times New Roman" w:hAnsi="Times New Roman" w:eastAsia="Calibri" w:cs="Times New Roman"/>
          <w:sz w:val="26"/>
          <w:szCs w:val="26"/>
        </w:rPr>
        <w:t>;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9.2.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sz w:val="26"/>
          <w:szCs w:val="26"/>
        </w:rPr>
        <w:t>Установить, что не использованные по состоянию на 1 января 2024 года остатки межбюджетных трансфертов, предоставленных из краевого бюджета в форме субсидий, субвенций, иных межбюджетных трансфертов, имеющих целевое назначение, подлежат возврату в доход краевого бюджета в течение первых 15 рабочих дней 2024 года.</w:t>
      </w:r>
    </w:p>
    <w:p>
      <w:pPr>
        <w:widowControl w:val="0"/>
        <w:spacing w:before="120" w:after="120"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line="360" w:lineRule="auto"/>
        <w:ind w:firstLine="709"/>
        <w:jc w:val="both"/>
        <w:rPr>
          <w:rFonts w:hint="default" w:ascii="Times New Roman" w:hAnsi="Times New Roman" w:cs="Times New Roman"/>
          <w:spacing w:val="-5"/>
          <w:sz w:val="24"/>
          <w:szCs w:val="24"/>
        </w:rPr>
      </w:pPr>
      <w:r>
        <w:rPr>
          <w:rFonts w:hint="default" w:ascii="Times New Roman" w:hAnsi="Times New Roman" w:cs="Times New Roman"/>
          <w:caps/>
          <w:sz w:val="24"/>
          <w:szCs w:val="28"/>
        </w:rPr>
        <w:t>Статья</w:t>
      </w:r>
      <w:r>
        <w:rPr>
          <w:rFonts w:hint="default" w:ascii="Times New Roman" w:hAnsi="Times New Roman" w:cs="Times New Roman"/>
          <w:sz w:val="26"/>
          <w:szCs w:val="28"/>
        </w:rPr>
        <w:t>  </w:t>
      </w:r>
      <w:r>
        <w:rPr>
          <w:rFonts w:hint="default" w:ascii="Times New Roman" w:hAnsi="Times New Roman" w:cs="Times New Roman"/>
          <w:caps/>
          <w:sz w:val="24"/>
          <w:szCs w:val="28"/>
        </w:rPr>
        <w:t xml:space="preserve">10. 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>ВСТУПЛЕНИЕ В СИЛУ НАСТОЯЩЕГО РЕШЕНИЯ</w:t>
      </w:r>
    </w:p>
    <w:p>
      <w:pPr>
        <w:widowControl w:val="0"/>
        <w:spacing w:line="360" w:lineRule="auto"/>
        <w:ind w:firstLine="709"/>
        <w:jc w:val="both"/>
        <w:rPr>
          <w:rFonts w:hint="default" w:ascii="Times New Roman" w:hAnsi="Times New Roman" w:cs="Times New Roman"/>
          <w:spacing w:val="-5"/>
          <w:sz w:val="24"/>
          <w:szCs w:val="24"/>
        </w:rPr>
      </w:pPr>
    </w:p>
    <w:p>
      <w:pPr>
        <w:widowControl w:val="0"/>
        <w:spacing w:line="360" w:lineRule="auto"/>
        <w:ind w:firstLine="709"/>
        <w:jc w:val="both"/>
        <w:rPr>
          <w:rFonts w:hint="default" w:ascii="Times New Roman" w:hAnsi="Times New Roman" w:cs="Times New Roman"/>
          <w:sz w:val="26"/>
          <w:szCs w:val="24"/>
        </w:rPr>
      </w:pPr>
      <w:r>
        <w:rPr>
          <w:rFonts w:hint="default" w:ascii="Times New Roman" w:hAnsi="Times New Roman" w:cs="Times New Roman"/>
          <w:spacing w:val="-5"/>
          <w:sz w:val="26"/>
          <w:szCs w:val="24"/>
        </w:rPr>
        <w:t>Настоящий муниципальный правовой акт вступает в силу после его официального опубликования, но не ранее 1 января 2024 года.</w:t>
      </w:r>
    </w:p>
    <w:p>
      <w:pPr>
        <w:pStyle w:val="188"/>
        <w:spacing w:before="0" w:line="240" w:lineRule="auto"/>
        <w:ind w:firstLine="0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188"/>
        <w:spacing w:before="0" w:line="240" w:lineRule="auto"/>
        <w:ind w:firstLine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Глава Лазовского                                                                       </w:t>
      </w:r>
    </w:p>
    <w:p>
      <w:pPr>
        <w:pStyle w:val="188"/>
        <w:spacing w:before="0" w:line="240" w:lineRule="auto"/>
        <w:ind w:firstLine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Ю.А.Мосальский                                                                                </w:t>
      </w:r>
    </w:p>
    <w:p>
      <w:pPr>
        <w:ind w:firstLine="360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с. Лазо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2023 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№ 000 -МПА</w:t>
      </w:r>
    </w:p>
    <w:sectPr>
      <w:headerReference r:id="rId3" w:type="default"/>
      <w:headerReference r:id="rId4" w:type="even"/>
      <w:pgSz w:w="11906" w:h="16838"/>
      <w:pgMar w:top="113" w:right="748" w:bottom="284" w:left="1797" w:header="709" w:footer="709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Batang">
    <w:altName w:val="Verdana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6"/>
      <w:framePr w:wrap="around" w:vAnchor="text" w:hAnchor="margin" w:xAlign="right" w:y="1"/>
      <w:rPr>
        <w:rStyle w:val="187"/>
      </w:rPr>
    </w:pPr>
    <w:r>
      <w:rPr>
        <w:rStyle w:val="187"/>
      </w:rPr>
      <w:fldChar w:fldCharType="begin"/>
    </w:r>
    <w:r>
      <w:rPr>
        <w:rStyle w:val="187"/>
      </w:rPr>
      <w:instrText xml:space="preserve">PAGE  </w:instrText>
    </w:r>
    <w:r>
      <w:rPr>
        <w:rStyle w:val="187"/>
      </w:rPr>
      <w:fldChar w:fldCharType="separate"/>
    </w:r>
    <w:r>
      <w:rPr>
        <w:rStyle w:val="187"/>
      </w:rPr>
      <w:t>9</w:t>
    </w:r>
    <w:r>
      <w:rPr>
        <w:rStyle w:val="187"/>
      </w:rPr>
      <w:fldChar w:fldCharType="end"/>
    </w:r>
  </w:p>
  <w:p>
    <w:pPr>
      <w:pStyle w:val="18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6"/>
      <w:framePr w:wrap="around" w:vAnchor="text" w:hAnchor="margin" w:xAlign="right" w:y="1"/>
      <w:rPr>
        <w:rStyle w:val="187"/>
      </w:rPr>
    </w:pPr>
    <w:r>
      <w:rPr>
        <w:rStyle w:val="187"/>
      </w:rPr>
      <w:fldChar w:fldCharType="begin"/>
    </w:r>
    <w:r>
      <w:rPr>
        <w:rStyle w:val="187"/>
      </w:rPr>
      <w:instrText xml:space="preserve">PAGE  </w:instrText>
    </w:r>
    <w:r>
      <w:rPr>
        <w:rStyle w:val="187"/>
      </w:rPr>
      <w:fldChar w:fldCharType="end"/>
    </w:r>
  </w:p>
  <w:p>
    <w:pPr>
      <w:pStyle w:val="18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825FC8"/>
    <w:rsid w:val="78B12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4"/>
    <w:qFormat/>
    <w:uiPriority w:val="0"/>
    <w:rPr>
      <w:rFonts w:asciiTheme="minorHAnsi" w:hAnsiTheme="minorHAnsi" w:eastAsiaTheme="minorEastAsia" w:cstheme="minorBidi"/>
      <w:sz w:val="28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13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paragraph" w:styleId="15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styleId="17">
    <w:name w:val="footnote reference"/>
    <w:unhideWhenUsed/>
    <w:uiPriority w:val="99"/>
    <w:rPr>
      <w:vertAlign w:val="superscript"/>
    </w:rPr>
  </w:style>
  <w:style w:type="paragraph" w:styleId="18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19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character" w:styleId="20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22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23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4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25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6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7">
    <w:name w:val="toc 3"/>
    <w:basedOn w:val="1"/>
    <w:next w:val="1"/>
    <w:unhideWhenUsed/>
    <w:uiPriority w:val="39"/>
    <w:pPr>
      <w:spacing w:after="57"/>
      <w:ind w:left="567" w:right="0" w:firstLine="0"/>
    </w:pPr>
  </w:style>
  <w:style w:type="paragraph" w:styleId="28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30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31">
    <w:name w:val="toc 7"/>
    <w:basedOn w:val="1"/>
    <w:next w:val="1"/>
    <w:unhideWhenUsed/>
    <w:uiPriority w:val="39"/>
    <w:pPr>
      <w:spacing w:after="57"/>
      <w:ind w:left="1701" w:right="0" w:firstLine="0"/>
    </w:pPr>
  </w:style>
  <w:style w:type="paragraph" w:styleId="32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33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character" w:customStyle="1" w:styleId="34">
    <w:name w:val="Heading 1 Char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asciiTheme="minorHAnsi" w:hAnsiTheme="minorHAnsi" w:eastAsiaTheme="minorEastAsia" w:cstheme="minorBidi"/>
      <w:lang w:val="ru-RU" w:eastAsia="zh-CN" w:bidi="ar-SA"/>
    </w:rPr>
  </w:style>
  <w:style w:type="character" w:customStyle="1" w:styleId="45">
    <w:name w:val="Title Char"/>
    <w:link w:val="24"/>
    <w:uiPriority w:val="10"/>
    <w:rPr>
      <w:sz w:val="48"/>
      <w:szCs w:val="48"/>
    </w:rPr>
  </w:style>
  <w:style w:type="character" w:customStyle="1" w:styleId="46">
    <w:name w:val="Subtitle Char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link w:val="19"/>
    <w:uiPriority w:val="99"/>
  </w:style>
  <w:style w:type="character" w:customStyle="1" w:styleId="52">
    <w:name w:val="Footer Char"/>
    <w:link w:val="16"/>
    <w:uiPriority w:val="99"/>
  </w:style>
  <w:style w:type="character" w:customStyle="1" w:styleId="53">
    <w:name w:val="Caption Char"/>
    <w:link w:val="16"/>
    <w:qFormat/>
    <w:uiPriority w:val="99"/>
  </w:style>
  <w:style w:type="table" w:customStyle="1" w:styleId="54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55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6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7">
    <w:name w:val="Plain Table 3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8">
    <w:name w:val="Plain Table 4"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59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0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1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2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3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4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5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6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7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8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69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0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1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2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3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4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5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6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7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8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79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0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1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2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3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4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5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6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7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8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2Vert"/>
    <w:tblStylePr w:type="band1Horz">
      <w:tcPr>
        <w:shd w:val="clear" w:color="898989" w:themeColor="text1" w:themeTint="75" w:fill="898989" w:themeFill="tex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89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2Vert"/>
    <w:tblStylePr w:type="band1Horz">
      <w:tcPr>
        <w:shd w:val="clear" w:color="AEC5E0" w:themeColor="accent1" w:themeTint="75" w:fill="AEC5E0" w:themeFill="accent1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0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2Vert"/>
    <w:tblStylePr w:type="band1Horz">
      <w:tcPr>
        <w:shd w:val="clear" w:color="E2AEAD" w:themeColor="accent2" w:themeTint="75" w:fill="E2AEAD" w:themeFill="accent2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1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2Vert"/>
    <w:tblStylePr w:type="band1Horz">
      <w:tcPr>
        <w:shd w:val="clear" w:color="D1DFB2" w:themeColor="accent3" w:themeTint="75" w:fill="D1DFB2" w:themeFill="accent3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2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2Vert"/>
    <w:tblStylePr w:type="band1Horz">
      <w:tcPr>
        <w:shd w:val="clear" w:color="C4B7D4" w:themeColor="accent4" w:themeTint="75" w:fill="C4B7D4" w:themeFill="accent4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3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2Vert"/>
    <w:tblStylePr w:type="band1Horz">
      <w:tcPr>
        <w:shd w:val="clear" w:color="ACD8E4" w:themeColor="accent5" w:themeTint="75" w:fill="ACD8E4" w:themeFill="accent5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4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2Vert"/>
    <w:tblStylePr w:type="band1Horz">
      <w:tcPr>
        <w:shd w:val="clear" w:color="FBCEAA" w:themeColor="accent6" w:themeTint="75" w:fill="FBCEAA" w:themeFill="accent6" w:themeFillTint="75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95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6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7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8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99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0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1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2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3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Vert"/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4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5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Vert"/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6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07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Vert"/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8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Vert"/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09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0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1">
    <w:name w:val="List Table 1 Light - Accent 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2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3">
    <w:name w:val="List Table 1 Light - Accent 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4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5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6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7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8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19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0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1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2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3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4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5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6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7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8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29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0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1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2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3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4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5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6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37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/>
    <w:tblStylePr w:type="nwCell"/>
    <w:tblStylePr w:type="seCell"/>
    <w:tblStylePr w:type="swCell"/>
  </w:style>
  <w:style w:type="table" w:customStyle="1" w:styleId="138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neCell"/>
    <w:tblStylePr w:type="nwCell"/>
    <w:tblStylePr w:type="seCell"/>
    <w:tblStylePr w:type="swCell"/>
  </w:style>
  <w:style w:type="table" w:customStyle="1" w:styleId="139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neCell"/>
    <w:tblStylePr w:type="nwCell"/>
    <w:tblStylePr w:type="seCell"/>
    <w:tblStylePr w:type="swCell"/>
  </w:style>
  <w:style w:type="table" w:customStyle="1" w:styleId="140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neCell"/>
    <w:tblStylePr w:type="nwCell"/>
    <w:tblStylePr w:type="seCell"/>
    <w:tblStylePr w:type="swCell"/>
  </w:style>
  <w:style w:type="table" w:customStyle="1" w:styleId="141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neCell"/>
    <w:tblStylePr w:type="nwCell"/>
    <w:tblStylePr w:type="seCell"/>
    <w:tblStylePr w:type="swCell"/>
  </w:style>
  <w:style w:type="table" w:customStyle="1" w:styleId="142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neCell"/>
    <w:tblStylePr w:type="nwCell"/>
    <w:tblStylePr w:type="seCell"/>
    <w:tblStylePr w:type="swCell"/>
  </w:style>
  <w:style w:type="table" w:customStyle="1" w:styleId="143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neCell"/>
    <w:tblStylePr w:type="nwCell"/>
    <w:tblStylePr w:type="seCell"/>
    <w:tblStylePr w:type="swCell"/>
  </w:style>
  <w:style w:type="table" w:customStyle="1" w:styleId="144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5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46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7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8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49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0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1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Vert"/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2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Vert"/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neCell"/>
    <w:tblStylePr w:type="nwCell"/>
    <w:tblStylePr w:type="seCell"/>
    <w:tblStylePr w:type="swCell"/>
  </w:style>
  <w:style w:type="table" w:customStyle="1" w:styleId="153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Vert"/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4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Vert"/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5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Vert"/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6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Vert"/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7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Vert"/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/>
    <w:tblStylePr w:type="nwCell"/>
    <w:tblStylePr w:type="seCell"/>
    <w:tblStylePr w:type="swCell"/>
  </w:style>
  <w:style w:type="table" w:customStyle="1" w:styleId="158">
    <w:name w:val="Lined - Accent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59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0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1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62">
    <w:name w:val="Lined - Accent 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63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64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65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neCell"/>
    <w:tblStylePr w:type="nwCell"/>
    <w:tblStylePr w:type="seCell"/>
    <w:tblStylePr w:type="swCell"/>
  </w:style>
  <w:style w:type="table" w:customStyle="1" w:styleId="166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neCell"/>
    <w:tblStylePr w:type="nwCell"/>
    <w:tblStylePr w:type="seCell"/>
    <w:tblStylePr w:type="swCell"/>
  </w:style>
  <w:style w:type="table" w:customStyle="1" w:styleId="167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neCell"/>
    <w:tblStylePr w:type="nwCell"/>
    <w:tblStylePr w:type="seCell"/>
    <w:tblStylePr w:type="swCell"/>
  </w:style>
  <w:style w:type="table" w:customStyle="1" w:styleId="168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neCell"/>
    <w:tblStylePr w:type="nwCell"/>
    <w:tblStylePr w:type="seCell"/>
    <w:tblStylePr w:type="swCell"/>
  </w:style>
  <w:style w:type="table" w:customStyle="1" w:styleId="169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neCell"/>
    <w:tblStylePr w:type="nwCell"/>
    <w:tblStylePr w:type="seCell"/>
    <w:tblStylePr w:type="swCell"/>
  </w:style>
  <w:style w:type="table" w:customStyle="1" w:styleId="170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neCell"/>
    <w:tblStylePr w:type="nwCell"/>
    <w:tblStylePr w:type="seCell"/>
    <w:tblStylePr w:type="swCell"/>
  </w:style>
  <w:style w:type="table" w:customStyle="1" w:styleId="171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neCell"/>
    <w:tblStylePr w:type="nwCell"/>
    <w:tblStylePr w:type="seCell"/>
    <w:tblStylePr w:type="swCell"/>
  </w:style>
  <w:style w:type="table" w:customStyle="1" w:styleId="172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3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4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5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6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7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table" w:customStyle="1" w:styleId="178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Vert"/>
    <w:tblStylePr w:type="band2Vert"/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/>
    <w:tblStylePr w:type="neCell"/>
    <w:tblStylePr w:type="nwCell"/>
    <w:tblStylePr w:type="seCell"/>
    <w:tblStylePr w:type="swCell"/>
  </w:style>
  <w:style w:type="character" w:customStyle="1" w:styleId="179">
    <w:name w:val="Footnote Text Char"/>
    <w:link w:val="18"/>
    <w:uiPriority w:val="99"/>
    <w:rPr>
      <w:sz w:val="18"/>
    </w:rPr>
  </w:style>
  <w:style w:type="character" w:customStyle="1" w:styleId="180">
    <w:name w:val="Endnote Text Char"/>
    <w:link w:val="15"/>
    <w:uiPriority w:val="99"/>
    <w:rPr>
      <w:sz w:val="20"/>
    </w:rPr>
  </w:style>
  <w:style w:type="paragraph" w:customStyle="1" w:styleId="181">
    <w:name w:val="TOC Heading"/>
    <w:unhideWhenUsed/>
    <w:uiPriority w:val="39"/>
    <w:rPr>
      <w:rFonts w:asciiTheme="minorHAnsi" w:hAnsiTheme="minorHAnsi" w:eastAsiaTheme="minorEastAsia" w:cstheme="minorBidi"/>
      <w:lang w:val="ru-RU" w:eastAsia="zh-CN" w:bidi="ar-SA"/>
    </w:rPr>
  </w:style>
  <w:style w:type="paragraph" w:customStyle="1" w:styleId="182">
    <w:name w:val="Заголовок 1"/>
    <w:basedOn w:val="1"/>
    <w:next w:val="1"/>
    <w:qFormat/>
    <w:uiPriority w:val="0"/>
    <w:pPr>
      <w:keepNext/>
      <w:widowControl w:val="0"/>
      <w:spacing w:line="360" w:lineRule="auto"/>
      <w:outlineLvl w:val="0"/>
    </w:pPr>
    <w:rPr>
      <w:b/>
      <w:sz w:val="30"/>
    </w:rPr>
  </w:style>
  <w:style w:type="character" w:customStyle="1" w:styleId="183">
    <w:name w:val="Основной шрифт абзаца"/>
    <w:link w:val="1"/>
    <w:semiHidden/>
    <w:uiPriority w:val="0"/>
  </w:style>
  <w:style w:type="table" w:customStyle="1" w:styleId="184">
    <w:name w:val="Обычная таблица"/>
    <w:semiHidden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85">
    <w:name w:val="ConsPlusNormal"/>
    <w:uiPriority w:val="0"/>
    <w:pPr>
      <w:widowControl w:val="0"/>
      <w:ind w:firstLine="720"/>
    </w:pPr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customStyle="1" w:styleId="186">
    <w:name w:val="Верхний колонтитул"/>
    <w:basedOn w:val="1"/>
    <w:uiPriority w:val="0"/>
    <w:pPr>
      <w:tabs>
        <w:tab w:val="center" w:pos="4677"/>
        <w:tab w:val="right" w:pos="9355"/>
      </w:tabs>
    </w:pPr>
  </w:style>
  <w:style w:type="character" w:customStyle="1" w:styleId="187">
    <w:name w:val="Номер страницы"/>
    <w:basedOn w:val="183"/>
    <w:link w:val="1"/>
    <w:uiPriority w:val="0"/>
  </w:style>
  <w:style w:type="paragraph" w:customStyle="1" w:styleId="188">
    <w:name w:val="Стиль в законе"/>
    <w:basedOn w:val="1"/>
    <w:uiPriority w:val="0"/>
    <w:pPr>
      <w:spacing w:before="120" w:line="360" w:lineRule="auto"/>
      <w:ind w:firstLine="851"/>
      <w:jc w:val="both"/>
    </w:pPr>
  </w:style>
  <w:style w:type="table" w:customStyle="1" w:styleId="189">
    <w:name w:val="Сетка таблицы"/>
    <w:basedOn w:val="184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90">
    <w:name w:val="ConsNormal"/>
    <w:uiPriority w:val="0"/>
    <w:pPr>
      <w:widowControl w:val="0"/>
      <w:ind w:right="19772" w:firstLine="720"/>
    </w:pPr>
    <w:rPr>
      <w:rFonts w:ascii="Arial" w:hAnsi="Arial" w:cs="Arial" w:eastAsiaTheme="minorEastAsia"/>
      <w:lang w:val="ru-RU" w:eastAsia="ru-RU" w:bidi="ar-SA"/>
    </w:rPr>
  </w:style>
  <w:style w:type="paragraph" w:customStyle="1" w:styleId="191">
    <w:name w:val="Нижний колонтитул"/>
    <w:basedOn w:val="1"/>
    <w:uiPriority w:val="0"/>
    <w:pPr>
      <w:tabs>
        <w:tab w:val="center" w:pos="4677"/>
        <w:tab w:val="right" w:pos="9355"/>
      </w:tabs>
    </w:pPr>
  </w:style>
  <w:style w:type="paragraph" w:customStyle="1" w:styleId="192">
    <w:name w:val="Текст выноски"/>
    <w:basedOn w:val="1"/>
    <w:semiHidden/>
    <w:uiPriority w:val="0"/>
    <w:rPr>
      <w:rFonts w:ascii="Tahoma" w:hAnsi="Tahoma" w:cs="Tahoma"/>
      <w:sz w:val="16"/>
      <w:szCs w:val="16"/>
    </w:rPr>
  </w:style>
  <w:style w:type="paragraph" w:customStyle="1" w:styleId="193">
    <w:name w:val="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94">
    <w:name w:val="Гиперссылка"/>
    <w:link w:val="1"/>
    <w:uiPriority w:val="0"/>
    <w:rPr>
      <w:color w:val="0000FF"/>
      <w:u w:val="single"/>
    </w:rPr>
  </w:style>
  <w:style w:type="paragraph" w:customStyle="1" w:styleId="195">
    <w:name w:val="Основной текст 3"/>
    <w:basedOn w:val="1"/>
    <w:link w:val="196"/>
    <w:uiPriority w:val="0"/>
    <w:rPr>
      <w:sz w:val="24"/>
      <w:lang w:val="en-US" w:eastAsia="en-US"/>
    </w:rPr>
  </w:style>
  <w:style w:type="character" w:customStyle="1" w:styleId="196">
    <w:name w:val="Основной текст 3 Знак"/>
    <w:link w:val="195"/>
    <w:uiPriority w:val="0"/>
    <w:rPr>
      <w:sz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2017-10-20T00:28:00Z</dcterms:created>
  <dc:creator>Лазо</dc:creator>
  <cp:lastModifiedBy>user</cp:lastModifiedBy>
  <dcterms:modified xsi:type="dcterms:W3CDTF">2023-11-13T01:10:07Z</dcterms:modified>
  <dc:title>Решение Думы Лазовского муниципального района</dc:title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B03F931FA0854A4CB37D78F731B575DB</vt:lpwstr>
  </property>
</Properties>
</file>