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5"/>
        <w:pageBreakBefore w:val="tru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Информация о реализации составляющих стандарта развития конкуренции в субъектах Российской Федерации (распоряжение Правительства РФ от 17.04.2020 №768-р) на территории муниципальных образований Приморского края</w:t>
      </w:r>
    </w:p>
    <w:p>
      <w:pPr>
        <w:pStyle w:val="style5"/>
        <w:jc w:val="center"/>
        <w:rPr>
          <w:sz w:val="32"/>
          <w:szCs w:val="32"/>
        </w:rPr>
      </w:pPr>
    </w:p>
    <w:tbl>
      <w:tblPr>
        <w:tblW w:w="9984" w:type="dxa"/>
        <w:tblInd w:w="60" w:type="dxa"/>
        <w:tblLayout w:type="fixed"/>
      </w:tblPr>
      <w:tblGrid>
        <w:gridCol w:w="2100"/>
        <w:gridCol w:w="2613"/>
        <w:gridCol w:w="5272"/>
      </w:tblGrid>
      <w:tr>
        <w:trPr/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</w:p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внедрения Стандарта развития конкуренции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муниципального образования</w:t>
            </w:r>
          </w:p>
        </w:tc>
      </w:tr>
      <w:tr>
        <w:trPr/>
        <w:tc>
          <w:tcPr>
            <w:tcW w:w="4713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муниципального образования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Лазовский МО</w:t>
            </w:r>
          </w:p>
        </w:tc>
      </w:tr>
      <w:tr>
        <w:trPr/>
        <w:tc>
          <w:tcPr>
            <w:tcW w:w="4713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Контактная информация исполнителя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i/>
                <w:iCs/>
              </w:rPr>
              <w:t xml:space="preserve">Мешалкина Лариса Геннадьевна, начальник отдела экономики ФЭУ администрации Лазовского МО 8 (4233720555)., </w:t>
            </w:r>
            <w:r>
              <w:rPr>
                <w:rStyle w:val="style11"/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lazeconomy</w:t>
            </w:r>
            <w:r>
              <w:rPr>
                <w:rStyle w:val="style11"/>
                <w:rFonts w:ascii="Times New Roman" w:hAnsi="Times New Roman" w:cs="Times New Roman"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i/>
                <w:iCs/>
              </w:rPr>
              <w:t xml:space="preserve">@</w:t>
            </w:r>
            <w:r>
              <w:rPr>
                <w:rStyle w:val="style11"/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mail</w:t>
            </w:r>
            <w:r>
              <w:rPr>
                <w:rStyle w:val="style11"/>
                <w:rFonts w:ascii="Times New Roman" w:hAnsi="Times New Roman" w:cs="Times New Roman"/>
                <w:i/>
                <w:iCs/>
                <w:lang w:val="en-US"/>
              </w:rPr>
            </w:r>
            <w:r>
              <w:rPr>
                <w:rFonts w:ascii="Times New Roman" w:hAnsi="Times New Roman" w:cs="Times New Roman"/>
                <w:i/>
                <w:iCs/>
              </w:rPr>
              <w:t xml:space="preserve">.</w:t>
            </w:r>
            <w:r>
              <w:rPr>
                <w:rStyle w:val="style11"/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ru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заседаний коллегиального органа муниципального образования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заседаний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протоколы заседаний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https://lazovskymo.gosuslugi.ru/ofitsialno/struktura-munitsipalnogo-obrazovaniya/mestnaya-administratsiya/strukturnye-podrazdeleniya/finansovo-ekonomicheskoe-upravlenie/ekonomika/razvitie-konkurentsii/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</w:pPr>
            <w:r>
              <w:rPr>
                <w:rFonts w:ascii="Times New Roman" w:hAnsi="Times New Roman" w:eastAsia="Liberation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Наличие утвержденного перечня товарных рынков (сфер) для содействия развитию конкуренции в муниципальном образовании Приморского края, сформированного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17.04.2019 № 768-р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перечня товарных рынков (сфер) для содействия развитию конкуренции в муниципальном образовании Приморского края, сформированного в соответствии со стандартом развития конкуренции в субъектах Российской Федерации, утвержденным распоряжением Правительства </w:t>
              <w:t xml:space="preserve">Российской Федерации от 17.04.2019 № 768-р2.1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которым</w:t>
            </w:r>
          </w:p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перечень рынков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Лазовского муниципального округа от 07 июля 2022 года № 498 утвержден Перечень товарных рынков для содействия развития конкуренции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в соответствии с которым назначен уполномоченный орган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Лазовского муниципального округа от 27.01.2021 № 131. Постановление от 1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сентября 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 xml:space="preserve">636</w:t>
            </w:r>
            <w:r>
              <w:rPr>
                <w:rFonts w:ascii="Times New Roman" w:hAnsi="Times New Roman" w:cs="Times New Roman"/>
              </w:rPr>
              <w:t xml:space="preserve"> « 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auto"/>
              </w:rPr>
              <w:t xml:space="preserve">Лазовского муниципального округа от 27 января 2021 г. №131 «О создании координационного Совета по развитию малого и среднего предпринимательства Лазовского муниципального округа»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утвержденных рынков из приложения к стандарту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9"/>
              <w:spacing w:after="0" w:before="0" w:line="360" w:lineRule="auto"/>
              <w:ind w:right="0" w:firstLine="708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дополнительных рынков, не предусмотренных приложением к стандарту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9"/>
              <w:spacing w:after="0" w:before="0" w:line="360" w:lineRule="auto"/>
              <w:ind w:right="0" w:firstLine="708" w:left="0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0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товарных рынков с низким уровнем конкуренции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9"/>
              <w:spacing w:after="0" w:before="0" w:line="360" w:lineRule="auto"/>
              <w:ind w:right="0" w:firstLine="708" w:left="0"/>
              <w:jc w:val="both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5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Утверждение плана мероприятий («дорожной карты») по содействию развитию конкуренции в муниципальном образовании Приморского края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в соответствии с которым утверждена дорожная карта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Cs/>
              </w:rPr>
              <w:t xml:space="preserve">Постановление администрации Лазовского муниципального округа от </w:t>
            </w:r>
            <w:r>
              <w:rPr>
                <w:rStyle w:val="style11"/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07 июля</w:t>
            </w:r>
            <w:r>
              <w:rPr>
                <w:rStyle w:val="style11"/>
                <w:rFonts w:ascii="Times New Roman" w:hAnsi="Times New Roman" w:eastAsia="Calibri" w:cs="Times New Roman"/>
                <w:bCs/>
                <w:iCs/>
              </w:rPr>
            </w:r>
            <w:r>
              <w:rPr>
                <w:rFonts w:ascii="Times New Roman" w:hAnsi="Times New Roman" w:cs="Times New Roman"/>
                <w:bCs/>
                <w:iCs/>
              </w:rPr>
              <w:t xml:space="preserve"> 20</w:t>
            </w:r>
            <w:r>
              <w:rPr>
                <w:rStyle w:val="style11"/>
                <w:rFonts w:ascii="Times New Roman" w:hAnsi="Times New Roman" w:cs="Times New Roman"/>
                <w:bCs/>
                <w:iCs/>
              </w:rPr>
            </w: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22</w:t>
            </w:r>
            <w:r>
              <w:rPr>
                <w:rStyle w:val="style11"/>
                <w:rFonts w:ascii="Times New Roman" w:hAnsi="Times New Roman" w:eastAsia="Calibri" w:cs="Times New Roman"/>
                <w:bCs/>
                <w:iCs/>
              </w:rPr>
            </w:r>
            <w:r>
              <w:rPr>
                <w:rFonts w:ascii="Times New Roman" w:hAnsi="Times New Roman" w:cs="Times New Roman"/>
                <w:bCs/>
                <w:iCs/>
              </w:rPr>
              <w:t xml:space="preserve"> года № </w:t>
            </w:r>
            <w:r>
              <w:rPr>
                <w:rStyle w:val="style11"/>
                <w:rFonts w:ascii="Times New Roman" w:hAnsi="Times New Roman" w:cs="Times New Roman"/>
                <w:bCs/>
                <w:iCs/>
              </w:rPr>
            </w: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498</w:t>
            </w:r>
            <w:r>
              <w:rPr>
                <w:rStyle w:val="style11"/>
                <w:rFonts w:ascii="Times New Roman" w:hAnsi="Times New Roman" w:eastAsia="Calibri" w:cs="Times New Roman"/>
                <w:bCs/>
                <w:iCs/>
              </w:rPr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Style w:val="style11"/>
                <w:rFonts w:ascii="Times New Roman" w:hAnsi="Times New Roman" w:cs="Times New Roman"/>
                <w:bCs/>
                <w:iCs/>
              </w:rPr>
            </w:r>
            <w:r>
              <w:rPr>
                <w:rFonts w:ascii="Times New Roman" w:hAnsi="Times New Roman" w:cs="Times New Roman"/>
                <w:bCs/>
              </w:rPr>
              <w:t xml:space="preserve">утвержден Перечень товарных рынков для содействия развития конкуренции и План мероприятий («дорожная карта») по содействию развитию конкуренции в Лазовском муниципальном округе на 2023-2025 годы».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документ, которым утверждена дорожная карта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9"/>
              <w:spacing w:line="360" w:lineRule="auto"/>
              <w:ind w:right="0" w:firstLine="708" w:left="0"/>
              <w:jc w:val="both"/>
            </w:pPr>
            <w:r>
              <w:rPr>
                <w:rFonts w:ascii="Times New Roman" w:hAnsi="Times New Roman" w:cs="Times New Roman"/>
                <w:bCs/>
                <w:iCs/>
                <w:shd w:val="clear" w:color="auto" w:fill="ffff00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color w:val="2c2d2e"/>
              </w:rPr>
              <w:t xml:space="preserve"> </w:t>
            </w:r>
            <w:hyperlink w:anchor="ttps://lazovskymo.gosuslugi.ru/ofitsialno/struktura-munitsipalnogo-obrazovaniya/mestnaya-administratsiya/strukturnye-podrazdeleniya/finansovo-ekonomicheskoe-upravlenie/ekonomika/maloe-predprinimatelstvo/" w:history="1">
              <w:r>
                <w:rPr>
                  <w:rStyle w:val="style12"/>
                </w:rPr>
              </w:r>
              <w:r>
                <w:rPr>
                  <w:rStyle w:val="style12"/>
                </w:rPr>
              </w:r>
              <w:r>
                <w:rPr>
                  <w:rStyle w:val="style12"/>
                  <w:rFonts w:ascii="Times New Roman" w:hAnsi="Times New Roman" w:cs="Times New Roman"/>
                  <w:bCs/>
                  <w:iCs/>
                  <w:color w:val="000000"/>
                  <w:u w:val="none"/>
                </w:rPr>
                <w:t xml:space="preserve">https://lazovskymo.gosuslugi.ru/ofitsialno/struktura-munitsipalnogo-obrazovaniya/mestnaya-administratsiya/strukturnye-podrazdeleniya/finansovo-ekonomicheskoe-upravlenie/ekonomika/maloe-predprinimatelstvo/</w:t>
              </w:r>
            </w:hyperlink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дорожной карты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9"/>
              <w:spacing w:line="360" w:lineRule="auto"/>
              <w:ind w:right="0" w:firstLine="708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Ссылка на документ ,</w:t>
            </w: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eastAsia="Tahoma" w:cs="Times New Roman"/>
              </w:rPr>
              <w:t xml:space="preserve">в соответствии с которым внесены изменения в дорожную карту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spacing w:line="360" w:lineRule="auto"/>
              <w:ind w:right="0" w:firstLine="708" w:left="0"/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Постановление администрации Лазовского муниципального округа от </w:t>
            </w: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07 июля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20</w:t>
            </w: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года № </w:t>
            </w: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498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утвержден Перечень товарных рынков для содействия развития конкуренции и План мероприятий («дорожная карта») по содействию развитию конкуренции в Лазовском муниципальном округе на 2023-2025 годы».</w:t>
            </w:r>
            <w:r>
              <w:rPr>
                <w:rFonts w:ascii="Times New Roman" w:hAnsi="Times New Roman" w:cs="Times New Roman"/>
                <w:bCs/>
                <w:iCs/>
                <w:color w:val="2c2d2e"/>
              </w:rPr>
              <w:t xml:space="preserve"> </w:t>
            </w:r>
            <w:hyperlink w:anchor="ttps://lazovskymo.gosuslugi.ru/ofitsialno/struktura-munitsipalnogo-obrazovaniya/mestnaya-administratsiya/strukturnye-podrazdeleniya/finansovo-ekonomicheskoe-upravlenie/ekonomika/maloe-predprinimatelstvo/" w:history="1">
              <w:r>
                <w:rPr>
                  <w:rStyle w:val="style12"/>
                </w:rPr>
              </w:r>
              <w:r>
                <w:rPr>
                  <w:rStyle w:val="style12"/>
                </w:rPr>
              </w:r>
              <w:r>
                <w:rPr>
                  <w:rStyle w:val="style12"/>
                  <w:rFonts w:ascii="Times New Roman" w:hAnsi="Times New Roman" w:cs="Times New Roman"/>
                  <w:bCs/>
                  <w:iCs/>
                  <w:color w:val="000000"/>
                  <w:u w:val="none"/>
                </w:rPr>
                <w:t xml:space="preserve">https://lazovskymo.gosuslugi.ru/ofitsialno/struktura-munitsipalnogo-obrazovaniya/mestnaya-administratsiya/strukturnye-podrazdeleniya/finansovo-ekonomicheskoe-upravlenie/ekonomika/maloe-predprinimatelstvo/</w:t>
              </w:r>
            </w:hyperlink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2"/>
                <w:rFonts w:ascii="Times New Roman" w:hAnsi="Times New Roman" w:cs="Times New Roman"/>
                <w:bCs/>
                <w:iCs/>
                <w:color w:val="000000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4.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на официальном сайте муниципального образования Приморского края раздела по освещению деятельности по содействию развитию конкуренции в муниципальном образовании Приморского края и его систематическое наполнение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раздел «Развитие конкуренции»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10"/>
              <w:widowControl w:val="false"/>
              <w:spacing w:line="360" w:lineRule="auto"/>
              <w:ind w:right="0" w:firstLine="708" w:left="0"/>
              <w:jc w:val="both"/>
            </w:pPr>
            <w:r>
              <w:rPr>
                <w:bCs/>
                <w:color w:val="2c2d2e"/>
              </w:rPr>
              <w:t xml:space="preserve"> </w:t>
            </w:r>
            <w:hyperlink w:anchor="ttps://lazovskymo.gosuslugi.ru/ofitsialno/struktura-munitsipalnogo-obrazovaniya/mestnaya-administratsiya/strukturnye-podrazdeleniya/finansovo-ekonomicheskoe-upravlenie/ekonomika/razvitie-konkurentsii/" w:history="1">
              <w:r>
                <w:rPr>
                  <w:rStyle w:val="style12"/>
                </w:rPr>
              </w:r>
              <w:r>
                <w:rPr>
                  <w:rStyle w:val="style12"/>
                </w:rPr>
              </w:r>
              <w:r>
                <w:rPr>
                  <w:rStyle w:val="style12"/>
                  <w:bCs/>
                  <w:color w:val="111111"/>
                  <w:u w:val="none"/>
                </w:rPr>
                <w:t xml:space="preserve">https://lazovskymo.gosuslugi.ru/ofitsialno/struktura-munitsipalnogo-obrazovaniya/mestnaya-administratsiya/strukturnye-podrazdeleniya/finansovo-ekonomicheskoe-upravlenie/ekonomika/razvitie-konkurentsii/</w:t>
              </w:r>
            </w:hyperlink>
          </w:p>
          <w:p>
            <w:pPr>
              <w:pStyle w:val="style7"/>
              <w:rPr>
                <w:rFonts w:ascii="Times New Roman" w:hAnsi="Times New Roman" w:cs="Times New Roman"/>
                <w:bCs/>
              </w:rPr>
            </w:pP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актуальной информации в разделе «Развитие конкуренции»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5.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Оказание содействия уполномоченному органу по содействию развитию конкуренции (Минэкономразвития ПК) в проведении ежегодного мониторинга состояния и развития конкурентной среды на рынках товаров и услуг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удовлетворенности потребителей качеством товаров, работ и услуг на товарных рынках муниципального образования (краткая информация о данных мониторинга)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Проведен, приняло участие </w:t>
            </w:r>
            <w:r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респондентов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наличия (отсутствия) </w:t>
              <w:t xml:space="preserve">административных барьеров и оценки состояния конкурентной среды субъектами предпринимательской деятельности </w:t>
              <w:t xml:space="preserve"> </w:t>
              <w:t xml:space="preserve">(краткая информация о данных мониторинга)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Проведен, приняло участие </w:t>
            </w: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респондента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удовлетворенности населения деятельностью в сфере финансовых услуг (краткая информация о данных мониторинга)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Проведен, приняло участие </w:t>
            </w: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  <w:t xml:space="preserve"> респондентов</w:t>
            </w:r>
          </w:p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 ИП)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6.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реестра хозяйствующих субъектов с муниципальным участием 50 и более процентов, осуществляющих деятельность на территории муниципального образования Приморского края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муниципального образования Приморского края в разделе по освещению деятельности по содействию развитию конкуренции в муниципальном образовании Приморского края реестра хозяйствующих субъектов с муниципальным участием 50 и более процентов, осуществляющих деятельность на территории муниципального образования Приморского края</w:t>
            </w:r>
          </w:p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(Ссылка на реестр)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10"/>
              <w:widowControl w:val="false"/>
              <w:spacing w:line="360" w:lineRule="auto"/>
              <w:ind w:right="0" w:firstLine="708" w:left="0"/>
              <w:jc w:val="both"/>
            </w:pPr>
          </w:p>
          <w:p>
            <w:pPr>
              <w:pStyle w:val="style10"/>
              <w:widowControl w:val="false"/>
              <w:spacing w:line="360" w:lineRule="auto"/>
              <w:ind w:right="0" w:firstLine="708" w:left="0"/>
              <w:jc w:val="both"/>
            </w:pPr>
            <w:r>
              <w:rPr>
                <w:bCs/>
                <w:color w:val="2c2d2e"/>
              </w:rPr>
              <w:t xml:space="preserve"> </w:t>
            </w:r>
            <w:hyperlink w:anchor="ttps://lazovskymo.gosuslugi.ru/ofitsialno/struktura-munitsipalnogo-obrazovaniya/mestnaya-administratsiya/strukturnye-podrazdeleniya/finansovo-ekonomicheskoe-upravlenie/ekonomika/razvitie-konkurentsii/" w:history="1">
              <w:r>
                <w:rPr>
                  <w:rStyle w:val="style12"/>
                </w:rPr>
              </w:r>
              <w:r>
                <w:rPr>
                  <w:rStyle w:val="style12"/>
                </w:rPr>
              </w:r>
              <w:r>
                <w:rPr>
                  <w:rStyle w:val="style12"/>
                  <w:bCs/>
                  <w:color w:val="111111"/>
                  <w:u w:val="none"/>
                </w:rPr>
                <w:t xml:space="preserve">https://lazovskymo.gosuslugi.ru/ofitsialno/struktura-munitsipalnogo-obrazovaniya/mestnaya-administratsiya/strukturnye-podrazdeleniya/finansovo-ekonomicheskoe-upravlenie/ekonomika/razvitie-konkurentsii/</w:t>
              </w:r>
            </w:hyperlink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Указание в реестре хозяйствующих субъектов с муниципальным участием 50 и более процентов, осуществляющих </w:t>
              <w:t xml:space="preserve">деятельность на территории муниципального образования Приморского края, доли занимаемого рынка каждым хозяйствующим субъектом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выражении)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6.3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Указание в реестре суммарного объема финансирования хозяйствующих субъектов из бюджета Приморского края и бюджета муниципального образования Приморского края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6.4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Указать как изменилось количество хозяйствующих субъектов с муниципальным участием 50 и более процентов, осуществляющих деятельность на территории муниципального образования Приморского края в сравнении предыдущим отчетным периодом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изменений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7.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ежегодного доклада о состоянии и развитии конкурентной среды на рынках товаров, работ и услуг муниципального образования Приморского края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доклада на заседании коллегиального органа (ссылка на протокол заседания)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10"/>
              <w:widowControl w:val="false"/>
              <w:spacing w:line="360" w:lineRule="auto"/>
              <w:ind w:right="0" w:firstLine="708" w:left="0"/>
              <w:jc w:val="both"/>
              <w:rPr>
                <w:bCs/>
              </w:rPr>
            </w:pPr>
          </w:p>
          <w:p>
            <w:pPr>
              <w:pStyle w:val="style7"/>
              <w:rPr>
                <w:rFonts w:ascii="Times New Roman" w:hAnsi="Times New Roman" w:cs="Times New Roman"/>
                <w:bCs/>
              </w:rPr>
            </w:pP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7.2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доклад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10"/>
              <w:widowControl w:val="false"/>
              <w:spacing w:line="360" w:lineRule="auto"/>
              <w:ind w:right="0" w:firstLine="708" w:left="0"/>
              <w:jc w:val="both"/>
            </w:pPr>
            <w:r>
              <w:rPr>
                <w:bCs/>
                <w:color w:val="2c2d2e"/>
              </w:rPr>
              <w:t xml:space="preserve"> </w:t>
            </w:r>
            <w:hyperlink w:anchor="ttps://lazovskymo.gosuslugi.ru/ofitsialno/struktura-munitsipalnogo-obrazovaniya/mestnaya-administratsiya/strukturnye-podrazdeleniya/finansovo-ekonomicheskoe-upravlenie/ekonomika/razvitie-konkurentsii/" w:history="1">
              <w:r>
                <w:rPr>
                  <w:rStyle w:val="style12"/>
                </w:rPr>
              </w:r>
              <w:r>
                <w:rPr>
                  <w:rStyle w:val="style12"/>
                </w:rPr>
              </w:r>
              <w:r>
                <w:rPr>
                  <w:rStyle w:val="style12"/>
                  <w:bCs/>
                  <w:color w:val="111111"/>
                  <w:u w:val="none"/>
                </w:rPr>
                <w:t xml:space="preserve">https://lazovskymo.gosuslugi.ru/ofitsialno/struktura-munitsipalnogo-obrazovaniya/mestnaya-administratsiya/strukturnye-podrazdeleniya/finansovo-ekonomicheskoe-upravlenie/ekonomika/razvitie-konkurentsii/</w:t>
              </w:r>
            </w:hyperlink>
          </w:p>
          <w:p>
            <w:pPr>
              <w:pStyle w:val="style7"/>
              <w:rPr>
                <w:rFonts w:ascii="Times New Roman" w:hAnsi="Times New Roman" w:cs="Times New Roman"/>
              </w:rPr>
            </w:pP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8.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 отчетном году в обучающих мероприятиях и тренингах для органов местного самоуправления по вопросам содействия развитию конкуренции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мероприятий, в которых приняли участие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9.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Достижение целевых показателей «дорожной карты» по содействию развитию конкуренции, отражающие эффективность решения задач по развитию конкуренции на товарных рынках в муниципальном образовании</w:t>
            </w:r>
          </w:p>
        </w:tc>
      </w:tr>
      <w:tr>
        <w:trPr/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Указать % достижения целевых показателей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5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u w:val="single"/>
              </w:rPr>
              <w:t xml:space="preserve">Рынок услуг дошкольного образования</w:t>
            </w:r>
            <w:r>
              <w:rPr>
                <w:rStyle w:val="style11"/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</w:rPr>
              <w:t xml:space="preserve">- Удовлетворенность потребителей </w:t>
            </w: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</w:rPr>
              <w:t xml:space="preserve">качеством </w:t>
            </w:r>
            <w:r>
              <w:rPr>
                <w:rStyle w:val="style11"/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  <w:t xml:space="preserve">услуг дошкольного образования – 84%.</w:t>
            </w:r>
          </w:p>
          <w:p>
            <w:pPr>
              <w:pStyle w:val="style5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Удовлетворенность потребителей </w:t>
            </w: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</w:rPr>
              <w:t xml:space="preserve">ценой </w:t>
            </w:r>
            <w:r>
              <w:rPr>
                <w:rStyle w:val="style11"/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  <w:t xml:space="preserve">услуг дошкольного образования – 60%.</w:t>
            </w:r>
          </w:p>
          <w:p>
            <w:pPr>
              <w:pStyle w:val="style5"/>
              <w:rPr>
                <w:rFonts w:ascii="Times New Roman" w:hAnsi="Times New Roman" w:cs="Times New Roman"/>
              </w:rPr>
            </w:pPr>
          </w:p>
          <w:p>
            <w:pPr>
              <w:pStyle w:val="style5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u w:val="single"/>
              </w:rPr>
              <w:t xml:space="preserve">Рынок услуг общего образования</w:t>
            </w:r>
            <w:r>
              <w:rPr>
                <w:rStyle w:val="style11"/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</w:rPr>
              <w:t xml:space="preserve">-</w:t>
            </w:r>
          </w:p>
          <w:p>
            <w:pPr>
              <w:pStyle w:val="style5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Удовлетворенность потребителей </w:t>
            </w: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</w:rPr>
              <w:t xml:space="preserve">качеством </w:t>
            </w:r>
            <w:r>
              <w:rPr>
                <w:rStyle w:val="style11"/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  <w:t xml:space="preserve">услуг дошкольного образования – 73%.</w:t>
            </w:r>
          </w:p>
          <w:p>
            <w:pPr>
              <w:pStyle w:val="style5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Удовлетворенность потребителей </w:t>
            </w: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</w:rPr>
              <w:t xml:space="preserve">ценой </w:t>
            </w:r>
            <w:r>
              <w:rPr>
                <w:rStyle w:val="style11"/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  <w:t xml:space="preserve">услуг дошкольного образования – 100%.</w:t>
            </w:r>
          </w:p>
          <w:p>
            <w:pPr>
              <w:pStyle w:val="style5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Удовлетворенность потребителей </w:t>
            </w: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</w:rPr>
              <w:t xml:space="preserve">доступностью </w:t>
            </w:r>
            <w:r>
              <w:rPr>
                <w:rStyle w:val="style11"/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  <w:t xml:space="preserve">услуг общего образования – 84%.</w:t>
            </w:r>
          </w:p>
          <w:p>
            <w:pPr>
              <w:pStyle w:val="style5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u w:val="single"/>
              </w:rPr>
              <w:t xml:space="preserve">Рынок услуг дополнительного образования детей</w:t>
            </w:r>
            <w:r>
              <w:rPr>
                <w:rStyle w:val="style11"/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</w:rPr>
              <w:t xml:space="preserve">-</w:t>
            </w:r>
          </w:p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потребителей качеством услуг дополнительного образования детей – 100%.</w:t>
            </w:r>
          </w:p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потребителей ценой</w:t>
            </w:r>
          </w:p>
          <w:p>
            <w:pPr>
              <w:pStyle w:val="style5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Style w:val="style11"/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услуг дополнительного образования детей – 50%.</w:t>
            </w:r>
          </w:p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потребителей доступностью услуг дополнительного образования детей – 20%.</w:t>
            </w:r>
          </w:p>
          <w:p>
            <w:pPr>
              <w:pStyle w:val="style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Рынок услуг детского отдыха и оздоровления-</w:t>
            </w:r>
          </w:p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потребителей качеством услуг детского отдыха и оздоровления – 0%.</w:t>
            </w:r>
          </w:p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потребителей ценой на </w:t>
              <w:t xml:space="preserve"> </w:t>
              <w:t xml:space="preserve">услуг детского отдыха и оздоровления – 0%.</w:t>
            </w:r>
          </w:p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потребителей доступностью услуг детского отдыха и оздоровления – 0%.</w:t>
            </w:r>
          </w:p>
          <w:p>
            <w:pPr>
              <w:pStyle w:val="style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Рынок услуг розничной торговли лекарственными препаратами, медицинскими изделиями и сопутствующими товарами-</w:t>
            </w:r>
          </w:p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потребителей качеством услуг розничной торговли лекарственными </w:t>
              <w:t xml:space="preserve">препаратами, медицинскими изделиями и сопутствующими товарами –100%.</w:t>
            </w:r>
          </w:p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потребителей ценой– 0%.</w:t>
            </w:r>
          </w:p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потребителей доступностью– 100%.</w:t>
            </w:r>
          </w:p>
          <w:p>
            <w:pPr>
              <w:pStyle w:val="style5"/>
              <w:rPr>
                <w:rFonts w:ascii="Times New Roman" w:hAnsi="Times New Roman" w:cs="Times New Roman"/>
                <w:u w:val="single"/>
              </w:rPr>
            </w:pPr>
          </w:p>
        </w:tc>
      </w:tr>
      <w:tr>
        <w:trPr>
          <w:trHeight w:val="450"/>
        </w:trPr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1"/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10.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 xml:space="preserve">Доля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</w:t>
            </w:r>
            <w:hyperlink w:anchor="onsultantplus://offline/ref=3DC4FBF6A45A0CB1EFE8CDF176C05174979C9FA6C84BE67B7B56818D4BAE116DD5AA63A3A47C86ED988899A1ECECE249BA0B838AFCB1B555I7YDC" w:history="1">
              <w:r>
                <w:rPr>
                  <w:rStyle w:val="style12"/>
                </w:rPr>
              </w:r>
              <w:r>
                <w:rPr>
                  <w:rStyle w:val="style12"/>
                </w:rPr>
              </w:r>
              <w:r>
                <w:rPr>
                  <w:rStyle w:val="style12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shd w:val="clear" w:color="auto" w:fill="auto"/>
                </w:rPr>
                <w:t xml:space="preserve">части 1.1 статьи 30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auto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>
        <w:trPr>
          <w:trHeight w:val="390"/>
        </w:trPr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Указать в % долю закупок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5"/>
              <w:rPr>
                <w:rFonts w:ascii="Times New Roman" w:hAnsi="Times New Roman" w:cs="Times New Roman"/>
                <w:shd w:val="clear" w:color="auto" w:fill="auto"/>
              </w:rPr>
            </w:pPr>
            <w:r>
              <w:rPr>
                <w:rFonts w:ascii="Times New Roman" w:hAnsi="Times New Roman" w:cs="Times New Roman"/>
                <w:shd w:val="clear" w:color="auto" w:fill="auto"/>
              </w:rPr>
              <w:t xml:space="preserve">26,77</w:t>
            </w:r>
          </w:p>
        </w:tc>
      </w:tr>
      <w:tr>
        <w:trPr>
          <w:trHeight w:val="390"/>
        </w:trPr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Среднее количество участников в конкурентных закупках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</w:tr>
      <w:tr>
        <w:trPr>
          <w:trHeight w:val="390"/>
        </w:trPr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закупок малого объема, осуществленных на региональном портале закупок малого объема, в общем объеме закупок малого объема</w:t>
            </w:r>
          </w:p>
        </w:tc>
      </w:tr>
      <w:tr>
        <w:trPr>
          <w:trHeight w:val="390"/>
        </w:trPr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в % долю закупок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</w:p>
        </w:tc>
      </w:tr>
      <w:tr>
        <w:trPr>
          <w:trHeight w:val="450"/>
        </w:trPr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</w:pPr>
            <w:r>
              <w:rPr>
                <w:rStyle w:val="style11"/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13</w:t>
            </w:r>
          </w:p>
        </w:tc>
        <w:tc>
          <w:tcPr>
            <w:tcW w:w="7885" w:type="dxa"/>
            <w:gridSpan w:val="2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Динамика количества нарушений антимонопольного законодательства со стороны органов местного самоуправления муниципального образования Приморского края в сравнении с предыдущим отчетным периодом</w:t>
            </w:r>
          </w:p>
        </w:tc>
      </w:tr>
      <w:tr>
        <w:trPr>
          <w:trHeight w:val="450"/>
        </w:trPr>
        <w:tc>
          <w:tcPr>
            <w:tcW w:w="2100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</w:t>
            </w:r>
          </w:p>
        </w:tc>
        <w:tc>
          <w:tcPr>
            <w:tcW w:w="2613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как изменилось количество нарушений антимонопольного законодательства</w:t>
            </w:r>
          </w:p>
        </w:tc>
        <w:tc>
          <w:tcPr>
            <w:tcW w:w="5272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extDirection w:val="lrTb"/>
          </w:tcPr>
          <w:p>
            <w:pPr>
              <w:pStyle w:val="style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Нарушения отсутствуют</w:t>
            </w:r>
          </w:p>
          <w:p>
            <w:pPr>
              <w:pStyle w:val="style5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>
      <w:pPr>
        <w:pStyle w:val="style5"/>
        <w:jc w:val="both"/>
        <w:rPr>
          <w:rFonts w:ascii="Times New Roman" w:hAnsi="Times New Roman" w:cs="Times New Roman"/>
        </w:rPr>
      </w:pPr>
    </w:p>
    <w:sectPr>
      <w:type w:val="nextPage"/>
      <w:pgSz w:h="16837" w:orient="portrait" w:w="11905"/>
      <w:pgMar w:top="1134" w:right="1134" w:bottom="1134" w:left="1134" w:header="1134" w:footer="1134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Segoe UI">
    <w:panose1 w:val="020B0502040404020203"/>
  </w:font>
  <w:font w:name="Liberation Serif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pPr>
        <w:ind w:firstLine="0" w:left="0"/>
      </w:pPr>
      <w:start w:val="1"/>
    </w:lvl>
    <w:lvl w:ilvl="1">
      <w:lvlJc w:val="left"/>
      <w:pPr>
        <w:ind w:firstLine="0" w:left="0"/>
      </w:pPr>
      <w:start w:val="1"/>
    </w:lvl>
    <w:lvl w:ilvl="2">
      <w:lvlJc w:val="left"/>
      <w:pPr>
        <w:ind w:firstLine="0" w:left="0"/>
      </w:pPr>
      <w:start w:val="1"/>
    </w:lvl>
    <w:lvl w:ilvl="3">
      <w:lvlJc w:val="left"/>
      <w:pPr>
        <w:ind w:firstLine="0" w:left="0"/>
      </w:pPr>
      <w:start w:val="1"/>
    </w:lvl>
    <w:lvl w:ilvl="4">
      <w:lvlJc w:val="left"/>
      <w:pPr>
        <w:ind w:firstLine="0" w:left="0"/>
      </w:pPr>
      <w:start w:val="1"/>
    </w:lvl>
    <w:lvl w:ilvl="5">
      <w:lvlJc w:val="left"/>
      <w:pPr>
        <w:ind w:firstLine="0" w:left="0"/>
      </w:pPr>
      <w:start w:val="1"/>
    </w:lvl>
    <w:lvl w:ilvl="6">
      <w:lvlJc w:val="left"/>
      <w:pPr>
        <w:ind w:firstLine="0" w:left="0"/>
      </w:pPr>
      <w:start w:val="1"/>
    </w:lvl>
    <w:lvl w:ilvl="7">
      <w:lvlJc w:val="left"/>
      <w:pPr>
        <w:ind w:firstLine="0" w:left="0"/>
      </w:pPr>
      <w:start w:val="1"/>
    </w:lvl>
    <w:lvl w:ilvl="8">
      <w:lvlJc w:val="left"/>
      <w:pPr>
        <w:ind w:firstLine="0" w:left="0"/>
      </w:pPr>
      <w:start w:val="1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2" w:default="1">
    <w:name w:val="DStyle_paragraph"/>
    <w:pPr>
      <w:keepLines w:val="false"/>
      <w:pageBreakBefore w:val="false"/>
      <w:widowControl w:val="false"/>
      <w:pBdr>
        <w:top w:val="none"/>
        <w:left w:val="none"/>
        <w:bottom w:val="none"/>
        <w:right w:val="none"/>
      </w:pBdr>
      <w:spacing w:line="240" w:lineRule="auto"/>
      <w:jc w:val="left"/>
    </w:pPr>
    <w:rPr>
      <w:rFonts w:ascii="Liberation Serif" w:hAnsi="Liberation Serif" w:eastAsia="Segoe UI" w:cs="Tahoma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lang w:val="ru-RU" w:eastAsia="zh-CN" w:bidi="hi-IN"/>
    </w:rPr>
  </w:style>
  <w:style w:type="paragraph" w:styleId="style5" w:customStyle="1">
    <w:name w:val="Standard"/>
    <w:basedOn w:val="style2"/>
    <w:pPr/>
  </w:style>
  <w:style w:type="paragraph" w:styleId="style6" w:customStyle="1">
    <w:name w:val="Обычный"/>
    <w:basedOn w:val="style2"/>
    <w:pPr/>
  </w:style>
  <w:style w:type="paragraph" w:styleId="style7" w:customStyle="1">
    <w:name w:val="Table Contents"/>
    <w:basedOn w:val="style5"/>
    <w:qFormat/>
    <w:pPr/>
  </w:style>
  <w:style w:type="paragraph" w:styleId="style8" w:customStyle="1">
    <w:name w:val="ConsPlusNormal"/>
    <w:basedOn w:val="style2"/>
    <w:pPr/>
    <w:rPr>
      <w:rFonts w:ascii="Calibri" w:hAnsi="Calibri" w:eastAsia="Times New Roman" w:cs="Calibri"/>
      <w:color w:val="auto"/>
      <w:sz w:val="22"/>
      <w:szCs w:val="20"/>
      <w:lang w:bidi="ar-SA"/>
    </w:rPr>
  </w:style>
  <w:style w:type="paragraph" w:styleId="style9" w:customStyle="1">
    <w:name w:val="Text body"/>
    <w:basedOn w:val="style5"/>
    <w:qFormat/>
    <w:pPr>
      <w:spacing w:after="140" w:before="0" w:line="276" w:lineRule="auto"/>
    </w:pPr>
  </w:style>
  <w:style w:type="paragraph" w:styleId="style10" w:customStyle="1">
    <w:name w:val="Default"/>
    <w:basedOn w:val="style2"/>
    <w:pPr>
      <w:widowControl w:val="true"/>
    </w:pPr>
    <w:rPr>
      <w:rFonts w:ascii="Times New Roman" w:hAnsi="Times New Roman" w:eastAsia="Calibri" w:cs="Times New Roman"/>
      <w:lang w:bidi="ar-SA"/>
    </w:rPr>
  </w:style>
  <w:style w:type="character" w:styleId="style11" w:customStyle="1">
    <w:name w:val="Основной шрифт абзаца"/>
    <w:basedOn w:val="style2"/>
    <w:qFormat/>
  </w:style>
  <w:style w:type="character" w:styleId="style12" w:customStyle="1">
    <w:name w:val="Internet link"/>
    <w:basedOn w:val="style2"/>
    <w:qFormat/>
    <w:rPr>
      <w:color w:val="0000ff"/>
      <w:u w:val="single"/>
    </w:rPr>
  </w:style>
  <w:style w:type="character" w:styleId="style13" w:customStyle="1">
    <w:name w:val="Visited Internet Link"/>
    <w:basedOn w:val="style2"/>
    <w:qFormat/>
    <w:rPr>
      <w:color w:val="954f72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LibreOffice/24.8.4.2$Windows_X86_64 LibreOffice_project/bb3cfa12c7b1bf994ecc5649a80400d06cd71002</Template>
  <Pages>7</Pages>
  <Words>1025</Words>
  <Characters>8838</Characters>
  <CharactersWithSpaces>9746</CharactersWithSpaces>
  <Application>ONLYOFFICE/8.2.2.22</Application>
  <Paragraphs>137</Paragraphs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ONLYOFFICE/8.2.2.22</cp:lastModifiedBy>
  <dcterms:created xsi:type="dcterms:W3CDTF">2024-01-12T01:14:00Z</dcterms:created>
  <dcterms:modified xsi:type="dcterms:W3CDTF">2025-01-23T12:21:09.614000000</dcterms:modified>
</cp:coreProperties>
</file>