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sz w:val="28"/>
        </w:rPr>
        <w:drawing>
          <wp:inline>
            <wp:extent cx="481583" cy="59867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1583" cy="59867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ТЕРРИТОРИАЛЬНАЯ ИЗБИРАТЕЛЬНАЯ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КОМИССИЯ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ЛАЗОВСКОГО РАЙОНА</w:t>
      </w:r>
      <w:r>
        <w:rPr>
          <w:sz w:val="28"/>
        </w:rPr>
        <w:t xml:space="preserve">            </w:t>
      </w:r>
    </w:p>
    <w:p w14:paraId="04000000">
      <w:pPr>
        <w:ind/>
        <w:jc w:val="center"/>
        <w:rPr>
          <w:b w:val="1"/>
          <w:spacing w:val="60"/>
          <w:sz w:val="16"/>
        </w:rPr>
      </w:pPr>
    </w:p>
    <w:p w14:paraId="05000000">
      <w:pPr>
        <w:ind/>
        <w:jc w:val="center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РЕШЕНИЕ</w:t>
      </w:r>
    </w:p>
    <w:p w14:paraId="06000000">
      <w:pPr>
        <w:rPr>
          <w:b w:val="1"/>
          <w:spacing w:val="60"/>
          <w:sz w:val="16"/>
        </w:rPr>
      </w:pPr>
    </w:p>
    <w:tbl>
      <w:tblPr>
        <w:tblStyle w:val="Style_1"/>
        <w:tblW w:type="auto" w:w="0"/>
        <w:tblInd w:type="dxa" w:w="250"/>
        <w:tblLayout w:type="fixed"/>
      </w:tblPr>
      <w:tblGrid>
        <w:gridCol w:w="3107"/>
        <w:gridCol w:w="3107"/>
        <w:gridCol w:w="3107"/>
      </w:tblGrid>
      <w:tr>
        <w:tc>
          <w:tcPr>
            <w:tcW w:type="dxa" w:w="3107"/>
          </w:tcPr>
          <w:p w14:paraId="07000000">
            <w:pPr>
              <w:spacing w:line="276" w:lineRule="auto"/>
              <w:ind/>
              <w:rPr>
                <w:sz w:val="28"/>
                <w:highlight w:val="green"/>
              </w:rPr>
            </w:pPr>
            <w:r>
              <w:rPr>
                <w:sz w:val="28"/>
              </w:rPr>
              <w:t>29 февраля 2024</w:t>
            </w:r>
            <w:r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</w:p>
        </w:tc>
        <w:tc>
          <w:tcPr>
            <w:tcW w:type="dxa" w:w="3107"/>
          </w:tcPr>
          <w:p w14:paraId="08000000">
            <w:pPr>
              <w:spacing w:line="276" w:lineRule="auto"/>
              <w:ind/>
              <w:jc w:val="center"/>
              <w:rPr>
                <w:sz w:val="28"/>
                <w:highlight w:val="green"/>
              </w:rPr>
            </w:pPr>
          </w:p>
        </w:tc>
        <w:tc>
          <w:tcPr>
            <w:tcW w:type="dxa" w:w="3107"/>
          </w:tcPr>
          <w:p w14:paraId="09000000">
            <w:pPr>
              <w:spacing w:line="276" w:lineRule="auto"/>
              <w:ind/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                  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№ 6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257</w:t>
            </w:r>
          </w:p>
        </w:tc>
      </w:tr>
    </w:tbl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с. Лазо</w:t>
      </w:r>
    </w:p>
    <w:p w14:paraId="0B000000">
      <w:pPr>
        <w:ind/>
        <w:jc w:val="right"/>
        <w:rPr>
          <w:sz w:val="26"/>
        </w:rPr>
      </w:pPr>
      <w:r>
        <w:rPr>
          <w:sz w:val="26"/>
        </w:rPr>
        <w:t xml:space="preserve"> </w:t>
      </w:r>
    </w:p>
    <w:p w14:paraId="0C000000">
      <w:pPr>
        <w:ind w:right="3121"/>
        <w:jc w:val="left"/>
      </w:pPr>
      <w:r>
        <w:rPr>
          <w:sz w:val="28"/>
        </w:rPr>
        <w:t xml:space="preserve">О назначении из числа членов территориальной избирательной комиссии </w:t>
      </w:r>
      <w:r>
        <w:rPr>
          <w:sz w:val="28"/>
        </w:rPr>
        <w:t>Лазовского района</w:t>
      </w:r>
      <w:r>
        <w:rPr>
          <w:sz w:val="28"/>
        </w:rPr>
        <w:t>, ответственных за работу со средствами видеорегистрации (видеофиксации)</w:t>
      </w:r>
      <w:r>
        <w:rPr>
          <w:sz w:val="28"/>
        </w:rPr>
        <w:t xml:space="preserve"> при проведении выборов Президента Российской Федерации, назначенных на 17 марта 2024 года</w:t>
      </w:r>
    </w:p>
    <w:p w14:paraId="0D000000">
      <w:pPr>
        <w:rPr>
          <w:sz w:val="16"/>
        </w:rPr>
      </w:pPr>
    </w:p>
    <w:p w14:paraId="0E000000">
      <w:pPr>
        <w:rPr>
          <w:sz w:val="16"/>
        </w:rPr>
      </w:pPr>
    </w:p>
    <w:p w14:paraId="0F000000">
      <w:pPr>
        <w:spacing w:line="360" w:lineRule="auto"/>
        <w:ind w:firstLine="708" w:left="0" w:right="-6"/>
        <w:jc w:val="both"/>
        <w:rPr>
          <w:sz w:val="26"/>
        </w:rPr>
      </w:pPr>
      <w:r>
        <w:rPr>
          <w:sz w:val="28"/>
        </w:rPr>
        <w:t>В</w:t>
      </w:r>
      <w:r>
        <w:rPr>
          <w:sz w:val="28"/>
        </w:rPr>
        <w:t xml:space="preserve"> соответствии со статьей 21 Федерального закона «О выборах Президента Российской Федерации»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руководствуясь пунктом 4.1. </w:t>
      </w:r>
      <w:r>
        <w:rPr>
          <w:sz w:val="28"/>
        </w:rPr>
        <w:t xml:space="preserve">решения Избирательной комиссии Приморского края от 22.02.2024 № 176/965 «Об особенностях применения средств видеорегистрации (видеофиксации) в участковых и территориальных избирательных комиссиях при проведении выборов Президента Российской Федерации, назначенных на 17 марта 2024 года», в </w:t>
      </w:r>
      <w:r>
        <w:rPr>
          <w:sz w:val="28"/>
        </w:rPr>
        <w:t xml:space="preserve">целях обеспечения открытости и гласности в деятельности </w:t>
      </w:r>
      <w:r>
        <w:rPr>
          <w:sz w:val="28"/>
        </w:rPr>
        <w:t xml:space="preserve">территориальной </w:t>
      </w:r>
      <w:r>
        <w:rPr>
          <w:sz w:val="28"/>
        </w:rPr>
        <w:t>избирательн</w:t>
      </w:r>
      <w:r>
        <w:rPr>
          <w:sz w:val="28"/>
        </w:rPr>
        <w:t>ой комиссии</w:t>
      </w:r>
      <w:r>
        <w:rPr>
          <w:sz w:val="28"/>
        </w:rPr>
        <w:t xml:space="preserve"> </w:t>
      </w:r>
      <w:r>
        <w:rPr>
          <w:sz w:val="28"/>
        </w:rPr>
        <w:t>Лазовского района</w:t>
      </w:r>
      <w:r>
        <w:rPr>
          <w:sz w:val="26"/>
        </w:rPr>
        <w:t xml:space="preserve">, </w:t>
      </w:r>
      <w:r>
        <w:rPr>
          <w:sz w:val="28"/>
        </w:rPr>
        <w:t>территориальная избирательная комиссия Лазовского района</w:t>
      </w:r>
    </w:p>
    <w:p w14:paraId="10000000">
      <w:pPr>
        <w:spacing w:line="360" w:lineRule="auto"/>
        <w:ind w:firstLine="567" w:left="0"/>
        <w:jc w:val="both"/>
        <w:outlineLvl w:val="0"/>
        <w:rPr>
          <w:sz w:val="28"/>
        </w:rPr>
      </w:pPr>
      <w:r>
        <w:rPr>
          <w:sz w:val="28"/>
        </w:rPr>
        <w:t xml:space="preserve">РЕШИЛА:   </w:t>
      </w:r>
    </w:p>
    <w:p w14:paraId="11000000">
      <w:pPr>
        <w:pStyle w:val="Style_2"/>
        <w:tabs>
          <w:tab w:leader="none" w:pos="993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Назначить </w:t>
      </w:r>
      <w:r>
        <w:rPr>
          <w:rFonts w:ascii="Times New Roman" w:hAnsi="Times New Roman"/>
          <w:sz w:val="28"/>
        </w:rPr>
        <w:t xml:space="preserve">членов территориальной избирательной комиссии </w:t>
      </w:r>
      <w:r>
        <w:rPr>
          <w:rFonts w:ascii="Times New Roman" w:hAnsi="Times New Roman"/>
          <w:sz w:val="28"/>
        </w:rPr>
        <w:t>Лазовского района</w:t>
      </w:r>
      <w:r>
        <w:rPr>
          <w:rFonts w:ascii="Times New Roman" w:hAnsi="Times New Roman"/>
          <w:sz w:val="28"/>
        </w:rPr>
        <w:t xml:space="preserve"> с правом решающего голоса Л.Р. </w:t>
      </w:r>
      <w:r>
        <w:rPr>
          <w:rFonts w:ascii="Times New Roman" w:hAnsi="Times New Roman"/>
          <w:sz w:val="28"/>
        </w:rPr>
        <w:t xml:space="preserve">Матвеенко </w:t>
      </w:r>
      <w:r>
        <w:rPr>
          <w:rFonts w:ascii="Times New Roman" w:hAnsi="Times New Roman"/>
          <w:sz w:val="28"/>
        </w:rPr>
        <w:t xml:space="preserve">и М.С. Фролкову </w:t>
      </w:r>
      <w:r>
        <w:rPr>
          <w:rFonts w:ascii="Times New Roman" w:hAnsi="Times New Roman"/>
          <w:sz w:val="28"/>
        </w:rPr>
        <w:t xml:space="preserve">ответственными за </w:t>
      </w:r>
      <w:r>
        <w:rPr>
          <w:rFonts w:ascii="Times New Roman" w:hAnsi="Times New Roman"/>
          <w:sz w:val="28"/>
        </w:rPr>
        <w:t xml:space="preserve">работу со средствами видеорегистрации (видеофиксации) в помещении территориальной избирательной комиссии </w:t>
      </w:r>
      <w:r>
        <w:rPr>
          <w:rFonts w:ascii="Times New Roman" w:hAnsi="Times New Roman"/>
          <w:sz w:val="28"/>
        </w:rPr>
        <w:t>Лазовского района.</w:t>
      </w:r>
      <w:r>
        <w:rPr>
          <w:rFonts w:ascii="Times New Roman" w:hAnsi="Times New Roman"/>
          <w:sz w:val="28"/>
        </w:rPr>
        <w:t xml:space="preserve"> </w:t>
      </w:r>
      <w:r>
        <w:rPr>
          <w:sz w:val="26"/>
        </w:rPr>
        <w:t xml:space="preserve"> </w:t>
      </w:r>
    </w:p>
    <w:p w14:paraId="12000000">
      <w:pPr>
        <w:pStyle w:val="Style_2"/>
        <w:tabs>
          <w:tab w:leader="none" w:pos="993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Разместить настоящее решение на официальном сайте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Лазовского муниципального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в разделе «Территориальная избирательная комиссия Лазовского района» в инф</w:t>
      </w:r>
      <w:r>
        <w:rPr>
          <w:rFonts w:ascii="Times New Roman" w:hAnsi="Times New Roman"/>
          <w:sz w:val="28"/>
        </w:rPr>
        <w:t xml:space="preserve">ормационно-телекоммуникационной </w:t>
      </w:r>
      <w:r>
        <w:rPr>
          <w:rFonts w:ascii="Times New Roman" w:hAnsi="Times New Roman"/>
          <w:sz w:val="28"/>
        </w:rPr>
        <w:t>сети Интернет.</w:t>
      </w:r>
    </w:p>
    <w:p w14:paraId="13000000">
      <w:pPr>
        <w:spacing w:line="360" w:lineRule="auto"/>
        <w:ind/>
        <w:jc w:val="both"/>
        <w:rPr>
          <w:sz w:val="16"/>
        </w:rPr>
      </w:pPr>
    </w:p>
    <w:p w14:paraId="14000000">
      <w:pPr>
        <w:spacing w:line="360" w:lineRule="auto"/>
        <w:ind/>
        <w:jc w:val="both"/>
        <w:rPr>
          <w:sz w:val="16"/>
        </w:rPr>
      </w:pPr>
      <w:r>
        <w:rPr>
          <w:sz w:val="26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Председатель комиссии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</w:t>
      </w:r>
      <w:r>
        <w:rPr>
          <w:rFonts w:ascii="Times New Roman" w:hAnsi="Times New Roman"/>
          <w:b w:val="0"/>
          <w:sz w:val="28"/>
        </w:rPr>
        <w:t>Н.Н. Садовая</w:t>
      </w:r>
    </w:p>
    <w:p w14:paraId="15000000">
      <w:pPr>
        <w:pStyle w:val="Style_3"/>
        <w:spacing w:after="0" w:before="0"/>
        <w:ind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 xml:space="preserve">                          </w:t>
      </w:r>
    </w:p>
    <w:p w14:paraId="16000000">
      <w:pPr>
        <w:pStyle w:val="Style_4"/>
        <w:spacing w:after="0" w:line="240" w:lineRule="auto"/>
        <w:ind/>
        <w:rPr>
          <w:sz w:val="16"/>
        </w:rPr>
      </w:pPr>
    </w:p>
    <w:p w14:paraId="17000000">
      <w:pPr>
        <w:pStyle w:val="Style_4"/>
        <w:spacing w:after="0" w:line="240" w:lineRule="auto"/>
        <w:ind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Л.Н. Макарова</w:t>
      </w:r>
    </w:p>
    <w:sectPr>
      <w:pgSz w:h="16848" w:orient="portrait" w:w="11908"/>
      <w:pgMar w:bottom="265" w:footer="708" w:gutter="0" w:header="708" w:left="1701" w:right="850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er"/>
    <w:basedOn w:val="Style_5"/>
    <w:link w:val="Style_10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0_ch" w:type="character">
    <w:name w:val="header"/>
    <w:basedOn w:val="Style_5_ch"/>
    <w:link w:val="Style_10"/>
    <w:rPr>
      <w:sz w:val="20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Normal (Web)"/>
    <w:basedOn w:val="Style_5"/>
    <w:link w:val="Style_2_ch"/>
    <w:pPr>
      <w:spacing w:afterAutospacing="on" w:beforeAutospacing="on"/>
      <w:ind/>
    </w:pPr>
    <w:rPr>
      <w:rFonts w:ascii="Tahoma" w:hAnsi="Tahoma"/>
    </w:rPr>
  </w:style>
  <w:style w:styleId="Style_2_ch" w:type="character">
    <w:name w:val="Normal (Web)"/>
    <w:basedOn w:val="Style_5_ch"/>
    <w:link w:val="Style_2"/>
    <w:rPr>
      <w:rFonts w:ascii="Tahoma" w:hAnsi="Tahoma"/>
    </w:rPr>
  </w:style>
  <w:style w:styleId="Style_13" w:type="paragraph">
    <w:name w:val="List"/>
    <w:basedOn w:val="Style_5"/>
    <w:link w:val="Style_13_ch"/>
    <w:pPr>
      <w:ind w:hanging="283" w:left="283"/>
    </w:pPr>
    <w:rPr>
      <w:sz w:val="20"/>
    </w:rPr>
  </w:style>
  <w:style w:styleId="Style_13_ch" w:type="character">
    <w:name w:val="List"/>
    <w:basedOn w:val="Style_5_ch"/>
    <w:link w:val="Style_13"/>
    <w:rPr>
      <w:sz w:val="20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ConsPlusNormal"/>
    <w:link w:val="Style_16_ch"/>
    <w:rPr>
      <w:rFonts w:ascii="Times New Roman" w:hAnsi="Times New Roman"/>
      <w:sz w:val="28"/>
    </w:rPr>
  </w:style>
  <w:style w:styleId="Style_16_ch" w:type="character">
    <w:name w:val="ConsPlusNormal"/>
    <w:link w:val="Style_16"/>
    <w:rPr>
      <w:rFonts w:ascii="Times New Roman" w:hAnsi="Times New Roman"/>
      <w:sz w:val="28"/>
    </w:rPr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5_ch"/>
    <w:link w:val="Style_3"/>
    <w:rPr>
      <w:rFonts w:ascii="Arial" w:hAnsi="Arial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basedOn w:val="Style_5"/>
    <w:link w:val="Style_18_ch"/>
    <w:pPr>
      <w:widowControl w:val="0"/>
      <w:spacing w:after="120"/>
      <w:ind/>
      <w:jc w:val="both"/>
    </w:pPr>
    <w:rPr>
      <w:sz w:val="22"/>
    </w:rPr>
  </w:style>
  <w:style w:styleId="Style_18_ch" w:type="character">
    <w:name w:val="Footnote"/>
    <w:basedOn w:val="Style_5_ch"/>
    <w:link w:val="Style_18"/>
    <w:rPr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List Paragraph"/>
    <w:basedOn w:val="Style_5"/>
    <w:link w:val="Style_21_ch"/>
    <w:pPr>
      <w:ind w:firstLine="0" w:left="720"/>
      <w:contextualSpacing w:val="1"/>
    </w:pPr>
  </w:style>
  <w:style w:styleId="Style_21_ch" w:type="character">
    <w:name w:val="List Paragraph"/>
    <w:basedOn w:val="Style_5_ch"/>
    <w:link w:val="Style_21"/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4" w:type="paragraph">
    <w:name w:val="Body Text 2"/>
    <w:basedOn w:val="Style_5"/>
    <w:link w:val="Style_4_ch"/>
    <w:pPr>
      <w:spacing w:after="120" w:line="480" w:lineRule="auto"/>
      <w:ind/>
    </w:pPr>
    <w:rPr>
      <w:sz w:val="20"/>
    </w:rPr>
  </w:style>
  <w:style w:styleId="Style_4_ch" w:type="character">
    <w:name w:val="Body Text 2"/>
    <w:basedOn w:val="Style_5_ch"/>
    <w:link w:val="Style_4"/>
    <w:rPr>
      <w:sz w:val="20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footnote reference"/>
    <w:basedOn w:val="Style_25"/>
    <w:link w:val="Style_24_ch"/>
    <w:rPr>
      <w:vertAlign w:val="superscript"/>
    </w:rPr>
  </w:style>
  <w:style w:styleId="Style_24_ch" w:type="character">
    <w:name w:val="footnote reference"/>
    <w:basedOn w:val="Style_25_ch"/>
    <w:link w:val="Style_24"/>
    <w:rPr>
      <w:vertAlign w:val="superscript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footer"/>
    <w:basedOn w:val="Style_5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5_ch"/>
    <w:link w:val="Style_28"/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Body Text Indent"/>
    <w:basedOn w:val="Style_5"/>
    <w:link w:val="Style_31_ch"/>
    <w:pPr>
      <w:spacing w:after="120"/>
      <w:ind w:firstLine="0" w:left="283"/>
    </w:pPr>
    <w:rPr>
      <w:sz w:val="20"/>
    </w:rPr>
  </w:style>
  <w:style w:styleId="Style_31_ch" w:type="character">
    <w:name w:val="Body Text Indent"/>
    <w:basedOn w:val="Style_5_ch"/>
    <w:link w:val="Style_31"/>
    <w:rPr>
      <w:sz w:val="20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2024-03-03T06:45:45Z</dcterms:modified>
</cp:coreProperties>
</file>