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bidi w:val="0"/>
        <w:ind w:left="0" w:right="0" w:hanging="0"/>
        <w:rPr/>
      </w:pPr>
      <w:r>
        <w:rPr>
          <w:b/>
          <w:bCs/>
          <w:sz w:val="28"/>
          <w:szCs w:val="28"/>
        </w:rPr>
        <w:t>Число избирателей, участников референдума, проживающих</w:t>
      </w:r>
    </w:p>
    <w:p>
      <w:pPr>
        <w:pStyle w:val="Style23"/>
        <w:bidi w:val="0"/>
        <w:ind w:left="0" w:right="0" w:hanging="0"/>
        <w:rPr/>
      </w:pPr>
      <w:r>
        <w:rPr>
          <w:b/>
          <w:bCs/>
          <w:sz w:val="28"/>
          <w:szCs w:val="28"/>
        </w:rPr>
        <w:t>по нижестоящим избирательным комиссиям</w:t>
      </w:r>
    </w:p>
    <w:p>
      <w:pPr>
        <w:pStyle w:val="Style23"/>
        <w:bidi w:val="0"/>
        <w:ind w:left="0" w:right="0" w:hanging="0"/>
        <w:rPr/>
      </w:pPr>
      <w:r>
        <w:rPr>
          <w:b/>
          <w:bCs/>
          <w:sz w:val="28"/>
          <w:szCs w:val="28"/>
        </w:rPr>
        <w:t xml:space="preserve">по состоянию на  01/07/2022 </w:t>
      </w:r>
    </w:p>
    <w:p>
      <w:pPr>
        <w:pStyle w:val="Style23"/>
        <w:bidi w:val="0"/>
        <w:ind w:left="0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/>
          <w:bCs/>
          <w:sz w:val="24"/>
          <w:szCs w:val="24"/>
        </w:rPr>
        <w:t>территориальная избирательная комиссия Лазовского района</w:t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9923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655"/>
        <w:gridCol w:w="1701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избирателей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/>
              <w:t>Участковая избирательная комиссия №1501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right"/>
              <w:rPr/>
            </w:pPr>
            <w:r>
              <w:rPr/>
              <w:t>779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308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732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335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743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735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607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700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456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56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507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108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697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404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521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533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462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112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273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263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100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680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147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297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7080" w:right="0" w:hanging="0"/>
        <w:rPr/>
      </w:pPr>
      <w:r>
        <w:rPr>
          <w:b/>
          <w:bCs/>
        </w:rPr>
        <w:t xml:space="preserve">ИТОГО:     </w:t>
      </w:r>
      <w:r>
        <w:rPr>
          <w:b/>
          <w:bCs/>
          <w:lang w:val="en-US"/>
        </w:rPr>
        <w:t>10555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418" w:footer="709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bidi w:val="0"/>
      <w:ind w:left="0" w:right="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t>1</w: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pt;mso-position-vertical-relative:text;margin-left:223.7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ru-RU" w:eastAsia="ru-RU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t>1</w: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ind w:left="0" w:right="0" w:hanging="0"/>
      <w:rPr>
        <w:rFonts w:ascii="Times New Roman" w:hAnsi="Times New Roman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Название Знак"/>
    <w:basedOn w:val="DefaultParagraphFont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2">
    <w:name w:val="Основной текст с отступом 2 Знак"/>
    <w:basedOn w:val="DefaultParagraphFont"/>
    <w:qFormat/>
    <w:rPr/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Style17">
    <w:name w:val="Основной текст Знак"/>
    <w:basedOn w:val="DefaultParagraphFont"/>
    <w:qFormat/>
    <w:rPr/>
  </w:style>
  <w:style w:type="character" w:styleId="Pagenumber">
    <w:name w:val="page number"/>
    <w:basedOn w:val="DefaultParagraphFont"/>
    <w:qFormat/>
    <w:rPr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3">
    <w:name w:val="Title"/>
    <w:basedOn w:val="Normal"/>
    <w:qFormat/>
    <w:pPr>
      <w:widowControl/>
      <w:jc w:val="center"/>
    </w:pPr>
    <w:rPr>
      <w:sz w:val="32"/>
      <w:szCs w:val="32"/>
    </w:rPr>
  </w:style>
  <w:style w:type="paragraph" w:styleId="BodyTextIndent2">
    <w:name w:val="Body Text Indent 2"/>
    <w:basedOn w:val="Normal"/>
    <w:qFormat/>
    <w:pPr>
      <w:widowControl/>
      <w:ind w:firstLine="567"/>
      <w:jc w:val="both"/>
    </w:pPr>
    <w:rPr>
      <w:sz w:val="22"/>
      <w:szCs w:val="22"/>
      <w:lang w:eastAsia="ru-RU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99</Pages>
  <Words>170</Words>
  <Characters>1402</Characters>
  <CharactersWithSpaces>1234</CharactersWithSpace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2022-07-15T12:35:00Z</dcterms:created>
  <dc:creator>Ablov Igor</dc:creator>
  <dc:description/>
  <dc:language>ru-RU</dc:language>
  <cp:lastModifiedBy/>
  <cp:lastPrinted>2001-07-05T16:26:00Z</cp:lastPrinted>
  <dcterms:modified xsi:type="dcterms:W3CDTF">2022-07-15T12:35:00Z</dcterms:modified>
  <cp:revision>2</cp:revision>
  <dc:subject/>
  <dc:title>Форма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user01</vt:lpwstr>
  </property>
</Properties>
</file>