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529" w:hanging="0"/>
        <w:jc w:val="both"/>
        <w:rPr/>
      </w:pPr>
      <w:r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>Приложение 2</w:t>
      </w:r>
    </w:p>
    <w:p>
      <w:pPr>
        <w:pStyle w:val="Normal"/>
        <w:ind w:left="552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>к решению Думы Лазовского</w:t>
      </w:r>
    </w:p>
    <w:p>
      <w:pPr>
        <w:pStyle w:val="Normal"/>
        <w:ind w:left="5529" w:hanging="0"/>
        <w:jc w:val="both"/>
        <w:rPr/>
      </w:pPr>
      <w:r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>муниципального округа</w:t>
      </w:r>
    </w:p>
    <w:p>
      <w:pPr>
        <w:pStyle w:val="Normal"/>
        <w:ind w:left="552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>от __________ 2022 года № 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муниципальных внутренних заимствований Лазовского муниципального округа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на 2023 год и плановый период 2024 и 2025 годов</w:t>
      </w:r>
    </w:p>
    <w:p>
      <w:pPr>
        <w:pStyle w:val="Normal"/>
        <w:jc w:val="right"/>
        <w:rPr/>
      </w:pPr>
      <w:r>
        <w:rPr>
          <w:bCs/>
        </w:rPr>
        <w:t>р</w:t>
      </w:r>
      <w:r>
        <w:rPr/>
        <w:t>ублей</w:t>
      </w:r>
    </w:p>
    <w:tbl>
      <w:tblPr>
        <w:tblW w:w="150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2835"/>
        <w:gridCol w:w="2835"/>
        <w:gridCol w:w="2693"/>
      </w:tblGrid>
      <w:tr>
        <w:trPr>
          <w:trHeight w:val="330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Перечень муниципальных внутренних заимствований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 Муниципальные ценные бумаги 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привлечение средств от размещения ценных бумаг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66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погашение номинальной стоимости ценных бумаг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40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2. Кредиты, полученные от кредитных организаций: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привлечение кредитов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66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погашение основной суммы долга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630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3. Бюджетные кредиты, привлеченные от других бюджетов бюджетной системы РФ: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привлечение кредитов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66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погашение основной суммы долга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4. Муниципальные гарантии: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предоставление муниципальных гарантий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66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исполнение муниципальных гарантий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5. Объем иных непогашенных долговых обязательств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Итого муниципальных внутренних заимствований: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66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привлечение средств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66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- погашение основной суммы долга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  <w:t xml:space="preserve"> </w:t>
      </w:r>
    </w:p>
    <w:sectPr>
      <w:type w:val="nextPage"/>
      <w:pgSz w:orient="landscape" w:w="16838" w:h="11906"/>
      <w:pgMar w:left="899" w:right="851" w:gutter="0" w:header="0" w:top="1701" w:footer="0" w:bottom="5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0"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eastAsia="Times New Roman"/>
      <w:b/>
      <w:bCs/>
      <w:szCs w:val="24"/>
    </w:rPr>
  </w:style>
  <w:style w:type="character" w:styleId="Style14">
    <w:name w:val="Основной текст Знак"/>
    <w:qFormat/>
    <w:rPr>
      <w:rFonts w:eastAsia="Times New Roman"/>
      <w:b/>
      <w:bCs/>
      <w:sz w:val="28"/>
      <w:szCs w:val="24"/>
    </w:rPr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6">
    <w:name w:val="Верхний колонтитул Знак"/>
    <w:qFormat/>
    <w:rPr>
      <w:rFonts w:eastAsia="Times New Roman"/>
      <w:sz w:val="24"/>
      <w:szCs w:val="24"/>
    </w:rPr>
  </w:style>
  <w:style w:type="character" w:styleId="Style17">
    <w:name w:val="Нижний колонтитул Знак"/>
    <w:qFormat/>
    <w:rPr>
      <w:rFonts w:eastAsia="Times New Roman"/>
      <w:sz w:val="24"/>
      <w:szCs w:val="24"/>
    </w:rPr>
  </w:style>
  <w:style w:type="character" w:styleId="Style18">
    <w:name w:val="Текст сноски Знак"/>
    <w:qFormat/>
    <w:rPr>
      <w:rFonts w:eastAsia="Times New Roman"/>
    </w:rPr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Интернет-ссылка"/>
    <w:rPr>
      <w:color w:val="0000FF"/>
      <w:u w:val="single"/>
    </w:rPr>
  </w:style>
  <w:style w:type="character" w:styleId="Appleconvertedspace">
    <w:name w:val="apple-converted-space"/>
    <w:qFormat/>
    <w:rPr/>
  </w:style>
  <w:style w:type="character" w:styleId="Style21">
    <w:name w:val="Посещённая гиперссылка"/>
    <w:rPr>
      <w:color w:val="800080"/>
      <w:u w:val="single"/>
    </w:rPr>
  </w:style>
  <w:style w:type="character" w:styleId="Style22">
    <w:name w:val="Основной текст с отступом Знак"/>
    <w:qFormat/>
    <w:rPr>
      <w:rFonts w:eastAsia="Times New Roman"/>
      <w:spacing w:val="24"/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24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25">
    <w:name w:val="List"/>
    <w:basedOn w:val="Style24"/>
    <w:pPr/>
    <w:rPr>
      <w:rFonts w:cs="Noto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28">
    <w:name w:val="Стиль в законе"/>
    <w:basedOn w:val="Normal"/>
    <w:qFormat/>
    <w:pPr>
      <w:spacing w:lineRule="auto" w:line="360" w:before="120" w:after="0"/>
      <w:ind w:firstLine="851"/>
      <w:jc w:val="both"/>
    </w:pPr>
    <w:rPr>
      <w:sz w:val="28"/>
      <w:szCs w:val="20"/>
    </w:rPr>
  </w:style>
  <w:style w:type="paragraph" w:styleId="U">
    <w:name w:val="u"/>
    <w:basedOn w:val="Normal"/>
    <w:qFormat/>
    <w:pPr>
      <w:ind w:firstLine="539"/>
      <w:jc w:val="both"/>
    </w:pPr>
    <w:rPr>
      <w:color w:val="000000"/>
      <w:sz w:val="15"/>
      <w:szCs w:val="15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0">
    <w:name w:val="Колонтитул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3">
    <w:name w:val="Без интервала"/>
    <w:qFormat/>
    <w:pPr>
      <w:widowControl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34">
    <w:name w:val="Footnote Text"/>
    <w:basedOn w:val="Normal"/>
    <w:pPr/>
    <w:rPr>
      <w:sz w:val="20"/>
      <w:szCs w:val="20"/>
      <w:lang w:val="ru-RU"/>
    </w:rPr>
  </w:style>
  <w:style w:type="paragraph" w:styleId="Style35">
    <w:name w:val="Абзац списка"/>
    <w:basedOn w:val="Normal"/>
    <w:qFormat/>
    <w:pPr>
      <w:ind w:left="708" w:hanging="0"/>
    </w:pPr>
    <w:rPr/>
  </w:style>
  <w:style w:type="paragraph" w:styleId="ConsNormal">
    <w:name w:val="ConsNormal"/>
    <w:qFormat/>
    <w:pPr>
      <w:widowControl w:val="false"/>
      <w:autoSpaceDE w:val="false"/>
      <w:bidi w:val="0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nt5">
    <w:name w:val="font5"/>
    <w:basedOn w:val="Normal"/>
    <w:qFormat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styleId="Font6">
    <w:name w:val="font6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styleId="Font7">
    <w:name w:val="font7"/>
    <w:basedOn w:val="Normal"/>
    <w:qFormat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Font8">
    <w:name w:val="font8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styleId="Font9">
    <w:name w:val="font9"/>
    <w:basedOn w:val="Normal"/>
    <w:qFormat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Font10">
    <w:name w:val="font10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styleId="Xl78">
    <w:name w:val="xl78"/>
    <w:basedOn w:val="Normal"/>
    <w:qFormat/>
    <w:pPr>
      <w:spacing w:before="280" w:after="280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styleId="Xl85">
    <w:name w:val="xl85"/>
    <w:basedOn w:val="Normal"/>
    <w:qFormat/>
    <w:pPr>
      <w:spacing w:before="280" w:after="280"/>
      <w:jc w:val="right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i/>
      <w:iCs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/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100">
    <w:name w:val="xl100"/>
    <w:basedOn w:val="Normal"/>
    <w:qFormat/>
    <w:pPr>
      <w:spacing w:before="280" w:after="280"/>
      <w:jc w:val="center"/>
      <w:textAlignment w:val="top"/>
    </w:pPr>
    <w:rPr/>
  </w:style>
  <w:style w:type="paragraph" w:styleId="Xl101">
    <w:name w:val="xl101"/>
    <w:basedOn w:val="Normal"/>
    <w:qFormat/>
    <w:pPr>
      <w:spacing w:before="280" w:after="280"/>
    </w:pPr>
    <w:rPr>
      <w:b/>
      <w:bCs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styleId="Xl104">
    <w:name w:val="xl104"/>
    <w:basedOn w:val="Normal"/>
    <w:qFormat/>
    <w:pPr>
      <w:spacing w:before="280" w:after="280"/>
    </w:pPr>
    <w:rPr>
      <w:i/>
      <w:iCs/>
    </w:rPr>
  </w:style>
  <w:style w:type="paragraph" w:styleId="Xl105">
    <w:name w:val="xl105"/>
    <w:basedOn w:val="Normal"/>
    <w:qFormat/>
    <w:pPr>
      <w:spacing w:before="280" w:after="280"/>
    </w:pPr>
    <w:rPr>
      <w:b/>
      <w:bCs/>
      <w:i/>
      <w:iCs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styleId="Xl110">
    <w:name w:val="xl110"/>
    <w:basedOn w:val="Normal"/>
    <w:qFormat/>
    <w:pPr>
      <w:spacing w:before="280" w:after="280"/>
      <w:textAlignment w:val="top"/>
    </w:pPr>
    <w:rPr/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i/>
      <w:iCs/>
    </w:rPr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</w:rPr>
  </w:style>
  <w:style w:type="paragraph" w:styleId="Xl121">
    <w:name w:val="xl1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Xl124">
    <w:name w:val="xl1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/>
  </w:style>
  <w:style w:type="paragraph" w:styleId="Xl125">
    <w:name w:val="xl1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26">
    <w:name w:val="xl126"/>
    <w:basedOn w:val="Normal"/>
    <w:qFormat/>
    <w:pPr>
      <w:spacing w:before="280" w:after="280"/>
      <w:textAlignment w:val="center"/>
    </w:pPr>
    <w:rPr>
      <w:b/>
      <w:bCs/>
    </w:rPr>
  </w:style>
  <w:style w:type="paragraph" w:styleId="Xl127">
    <w:name w:val="xl127"/>
    <w:basedOn w:val="Normal"/>
    <w:qFormat/>
    <w:pPr>
      <w:spacing w:before="280" w:after="280"/>
      <w:textAlignment w:val="center"/>
    </w:pPr>
    <w:rPr>
      <w:b/>
      <w:bCs/>
      <w:i/>
      <w:iCs/>
    </w:rPr>
  </w:style>
  <w:style w:type="paragraph" w:styleId="Xl128">
    <w:name w:val="xl1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</w:rPr>
  </w:style>
  <w:style w:type="paragraph" w:styleId="Xl129">
    <w:name w:val="xl129"/>
    <w:basedOn w:val="Normal"/>
    <w:qFormat/>
    <w:pPr>
      <w:spacing w:before="280" w:after="280"/>
      <w:textAlignment w:val="center"/>
    </w:pPr>
    <w:rPr/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/>
  </w:style>
  <w:style w:type="paragraph" w:styleId="Xl131">
    <w:name w:val="xl1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styleId="Xl132">
    <w:name w:val="xl1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134">
    <w:name w:val="xl1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135">
    <w:name w:val="xl1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36">
    <w:name w:val="xl1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37">
    <w:name w:val="xl1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</w:rPr>
  </w:style>
  <w:style w:type="paragraph" w:styleId="Xl138">
    <w:name w:val="xl1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styleId="Xl139">
    <w:name w:val="xl1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i/>
      <w:iCs/>
    </w:rPr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143">
    <w:name w:val="xl1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144">
    <w:name w:val="xl1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145">
    <w:name w:val="xl1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i/>
      <w:iCs/>
    </w:rPr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i/>
      <w:iCs/>
    </w:rPr>
  </w:style>
  <w:style w:type="paragraph" w:styleId="Xl147">
    <w:name w:val="xl14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i/>
      <w:iCs/>
    </w:rPr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150">
    <w:name w:val="xl1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151">
    <w:name w:val="xl151"/>
    <w:basedOn w:val="Normal"/>
    <w:qFormat/>
    <w:pPr>
      <w:spacing w:before="280" w:after="280"/>
      <w:textAlignment w:val="center"/>
    </w:pPr>
    <w:rPr>
      <w:b/>
      <w:bCs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  <w:i/>
      <w:iCs/>
    </w:rPr>
  </w:style>
  <w:style w:type="paragraph" w:styleId="Xl153">
    <w:name w:val="xl15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styleId="Xl154">
    <w:name w:val="xl1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155">
    <w:name w:val="xl15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/>
  </w:style>
  <w:style w:type="paragraph" w:styleId="Xl156">
    <w:name w:val="xl15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159">
    <w:name w:val="xl1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i/>
      <w:iCs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161">
    <w:name w:val="xl16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styleId="Xl162">
    <w:name w:val="xl1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both"/>
      <w:textAlignment w:val="top"/>
    </w:pPr>
    <w:rPr>
      <w:b/>
      <w:bCs/>
      <w:i/>
      <w:iCs/>
    </w:rPr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center"/>
      <w:textAlignment w:val="center"/>
    </w:pPr>
    <w:rPr>
      <w:b/>
      <w:bCs/>
    </w:rPr>
  </w:style>
  <w:style w:type="paragraph" w:styleId="Xl164">
    <w:name w:val="xl1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right"/>
      <w:textAlignment w:val="center"/>
    </w:pPr>
    <w:rPr>
      <w:b/>
      <w:bCs/>
    </w:rPr>
  </w:style>
  <w:style w:type="paragraph" w:styleId="Xl165">
    <w:name w:val="xl1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both"/>
      <w:textAlignment w:val="center"/>
    </w:pPr>
    <w:rPr>
      <w:b/>
      <w:bCs/>
      <w:i/>
      <w:iCs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center"/>
      <w:textAlignment w:val="center"/>
    </w:pPr>
    <w:rPr>
      <w:b/>
      <w:bCs/>
      <w:i/>
      <w:iCs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4DFEC" w:val="clear"/>
      <w:spacing w:before="280" w:after="280"/>
      <w:jc w:val="right"/>
      <w:textAlignment w:val="center"/>
    </w:pPr>
    <w:rPr>
      <w:b/>
      <w:bCs/>
    </w:rPr>
  </w:style>
  <w:style w:type="paragraph" w:styleId="Style36">
    <w:name w:val="Body Text Indent"/>
    <w:basedOn w:val="Normal"/>
    <w:pPr>
      <w:autoSpaceDE w:val="false"/>
      <w:spacing w:lineRule="exact" w:line="240" w:before="0" w:after="120"/>
      <w:ind w:hanging="284"/>
      <w:jc w:val="center"/>
    </w:pPr>
    <w:rPr>
      <w:spacing w:val="24"/>
      <w:lang w:val="ru-RU"/>
    </w:rPr>
  </w:style>
  <w:style w:type="paragraph" w:styleId="12">
    <w:name w:val="Обычный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0"/>
      <w:lang w:val="ru-RU" w:bidi="ar-SA" w:eastAsia="zh-CN"/>
    </w:rPr>
  </w:style>
  <w:style w:type="paragraph" w:styleId="Style37">
    <w:name w:val="ЭЭГ"/>
    <w:basedOn w:val="Normal"/>
    <w:qFormat/>
    <w:pPr>
      <w:spacing w:lineRule="auto" w:line="360"/>
      <w:ind w:firstLine="720"/>
      <w:jc w:val="both"/>
    </w:pPr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8">
    <w:name w:val="Обычный (веб)"/>
    <w:basedOn w:val="Normal"/>
    <w:qFormat/>
    <w:pPr>
      <w:spacing w:lineRule="auto" w:line="360"/>
      <w:ind w:firstLine="709"/>
      <w:jc w:val="both"/>
    </w:pPr>
    <w:rPr>
      <w:rFonts w:ascii="Tahoma" w:hAnsi="Tahoma" w:cs="Tahoma"/>
      <w:sz w:val="16"/>
      <w:szCs w:val="16"/>
    </w:rPr>
  </w:style>
  <w:style w:type="paragraph" w:styleId="Style39">
    <w:name w:val="Содержимое таблицы"/>
    <w:basedOn w:val="Normal"/>
    <w:qFormat/>
    <w:pPr>
      <w:widowControl w:val="false"/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2022-11-09T09:24:00Z</dcterms:created>
  <dc:creator>Инна</dc:creator>
  <dc:description/>
  <cp:keywords/>
  <dc:language>ru-RU</dc:language>
  <cp:lastModifiedBy>SHlapunova</cp:lastModifiedBy>
  <cp:lastPrinted>2021-10-29T09:16:00Z</cp:lastPrinted>
  <dcterms:modified xsi:type="dcterms:W3CDTF">2022-11-09T09:31:00Z</dcterms:modified>
  <cp:revision>3</cp:revision>
  <dc:subject/>
  <dc:title/>
</cp:coreProperties>
</file>