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529" w:right="62" w:firstLine="4677"/>
        <w:jc w:val="right"/>
        <w:rPr>
          <w:bCs/>
        </w:rPr>
      </w:pPr>
      <w:r>
        <w:rPr>
          <w:bCs/>
          <w:sz w:val="26"/>
          <w:szCs w:val="26"/>
        </w:rPr>
        <w:t xml:space="preserve">Приложение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межбюджетных трансфертов, получаемых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бюджетом Лазовского муниципального округа из других бюджетов </w:t>
      </w:r>
    </w:p>
    <w:p>
      <w:pPr>
        <w:pStyle w:val="Normal"/>
        <w:jc w:val="center"/>
        <w:rPr>
          <w:bCs/>
        </w:rPr>
      </w:pPr>
      <w:r>
        <w:rPr>
          <w:bCs/>
          <w:sz w:val="28"/>
          <w:szCs w:val="28"/>
        </w:rPr>
        <w:t>бюджетной системы</w:t>
      </w:r>
      <w:r>
        <w:rPr>
          <w:bCs/>
        </w:rPr>
        <w:t xml:space="preserve">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 и плановый период 2024 и 2025 годов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</w:rPr>
      </w:pPr>
      <w:r>
        <w:rPr>
          <w:bCs/>
        </w:rPr>
        <w:t>рублей</w:t>
      </w:r>
    </w:p>
    <w:tbl>
      <w:tblPr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6379"/>
        <w:gridCol w:w="1984"/>
        <w:gridCol w:w="1985"/>
        <w:gridCol w:w="1843"/>
      </w:tblGrid>
      <w:tr>
        <w:trPr>
          <w:trHeight w:val="252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кода дохода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>
        <w:trPr>
          <w:trHeight w:val="265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22 375 000,00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815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2 02 15002 14 0000 150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 xml:space="preserve">Дотации бюджетам муниципальных округов на поддержку мер по обеспечению сбалансированности бюджетов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22 375 000,00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0,00</w:t>
            </w:r>
          </w:p>
        </w:tc>
      </w:tr>
      <w:tr>
        <w:trPr>
          <w:trHeight w:val="504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13 275 438,66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9 784 467,20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11 500 614,49</w:t>
            </w:r>
          </w:p>
        </w:tc>
      </w:tr>
      <w:tr>
        <w:trPr>
          <w:trHeight w:val="255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1413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2 02 25467 14 0000 150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1 800 874,42</w:t>
            </w:r>
          </w:p>
        </w:tc>
      </w:tr>
      <w:tr>
        <w:trPr>
          <w:trHeight w:val="592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2 02 25497 14 0000 150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1 616 536,75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1 773 630,24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1 688 903,11</w:t>
            </w:r>
          </w:p>
        </w:tc>
      </w:tr>
      <w:tr>
        <w:trPr>
          <w:trHeight w:val="607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2 02 25519 14 0000 150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Субсидии бюджетам муниципальных округов на 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168 005,00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168 005,00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168 005,00</w:t>
            </w:r>
          </w:p>
        </w:tc>
      </w:tr>
      <w:tr>
        <w:trPr>
          <w:trHeight w:val="546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2 02 29999 14 0000 150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</w:rPr>
              <w:t>Прочие субсидии бюджетам муниципальных округов - всего, в том числе: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11 490 896,91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7 842831,96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7 842 831,96</w:t>
            </w:r>
          </w:p>
        </w:tc>
      </w:tr>
      <w:tr>
        <w:trPr>
          <w:trHeight w:val="604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- на приобретение и поставку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1 689 930,00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0,00</w:t>
            </w:r>
          </w:p>
        </w:tc>
      </w:tr>
      <w:tr>
        <w:trPr>
          <w:trHeight w:val="556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-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3 523 975,69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7 842 831,96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7 842 831,96</w:t>
            </w:r>
          </w:p>
        </w:tc>
      </w:tr>
      <w:tr>
        <w:trPr>
          <w:trHeight w:val="721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-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2 837 619,04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0,00</w:t>
            </w:r>
          </w:p>
        </w:tc>
      </w:tr>
      <w:tr>
        <w:trPr>
          <w:trHeight w:val="239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- на обеспечение граждан твердым топливом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3 439 372,18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0,00</w:t>
            </w:r>
          </w:p>
        </w:tc>
      </w:tr>
      <w:tr>
        <w:trPr>
          <w:trHeight w:val="510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201 087 777,37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212 293 225,47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223 240 337,57</w:t>
            </w:r>
          </w:p>
        </w:tc>
      </w:tr>
      <w:tr>
        <w:trPr>
          <w:trHeight w:val="255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1124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2 02 35120 14 0000 150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8 003,00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7 113,00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7 113,00</w:t>
            </w:r>
          </w:p>
        </w:tc>
      </w:tr>
      <w:tr>
        <w:trPr>
          <w:trHeight w:val="1177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2 02 35304 14 0000 150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6 748 150,00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6 748 150,00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6 748 150,00</w:t>
            </w:r>
          </w:p>
        </w:tc>
      </w:tr>
      <w:tr>
        <w:trPr>
          <w:trHeight w:val="864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2 02 35930 14 0000 150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Субвенции бюджетам муниципальных округов на государственную регистрацию актов гражданского состояния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1 490 622,00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1 490 622,00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1 490 622,00</w:t>
            </w:r>
          </w:p>
        </w:tc>
      </w:tr>
      <w:tr>
        <w:trPr>
          <w:trHeight w:val="699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2 02 36900 14 0000 150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2 220 737,00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2 332 836,00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2 426 149,00</w:t>
            </w:r>
          </w:p>
        </w:tc>
      </w:tr>
      <w:tr>
        <w:trPr>
          <w:trHeight w:val="299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i/>
                <w:iCs/>
              </w:rPr>
              <w:t>2 02 39999 14 0000 150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</w:rPr>
              <w:t>Прочие субвенции бюджетам муниципальных округов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353 579,00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353 579,00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353 579,00</w:t>
            </w:r>
          </w:p>
        </w:tc>
      </w:tr>
      <w:tr>
        <w:trPr>
          <w:trHeight w:val="1115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- на 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353 579,00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353 579,00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353 579,00</w:t>
            </w:r>
          </w:p>
        </w:tc>
      </w:tr>
      <w:tr>
        <w:trPr>
          <w:trHeight w:val="868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bCs/>
              </w:rPr>
              <w:t>2 02 30024 14 0000 150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185 645 871, 37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196 560 286,47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207 228 636,57</w:t>
            </w:r>
          </w:p>
        </w:tc>
      </w:tr>
      <w:tr>
        <w:trPr>
          <w:trHeight w:val="270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</w:tr>
      <w:tr>
        <w:trPr>
          <w:trHeight w:val="1666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118 302 600,00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126 574 644,00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134 508 203,00</w:t>
            </w:r>
          </w:p>
        </w:tc>
      </w:tr>
      <w:tr>
        <w:trPr>
          <w:trHeight w:val="1175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32 361 184,00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34 552 911,00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36 625 446,00</w:t>
            </w:r>
          </w:p>
        </w:tc>
      </w:tr>
      <w:tr>
        <w:trPr>
          <w:trHeight w:val="1020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 на 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4 524 550,00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4 524 550,00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4 524 550,00</w:t>
            </w:r>
          </w:p>
        </w:tc>
      </w:tr>
      <w:tr>
        <w:trPr>
          <w:trHeight w:val="983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 на обеспечение мер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1 230 000,00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1 180 000,00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1 180 000,00</w:t>
            </w:r>
          </w:p>
        </w:tc>
      </w:tr>
      <w:tr>
        <w:trPr>
          <w:trHeight w:val="844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- на обеспечение оздоровления и отдыха детей Приморского края (за исключением организации отдыха детей в каникулярное время)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1 864 291,75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2 203 482,75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2 203 482,75</w:t>
            </w:r>
          </w:p>
        </w:tc>
      </w:tr>
      <w:tr>
        <w:trPr>
          <w:trHeight w:val="833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946 950,00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992 018,00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1 029 099,00</w:t>
            </w:r>
          </w:p>
        </w:tc>
      </w:tr>
      <w:tr>
        <w:trPr>
          <w:trHeight w:val="831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697 436,07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193 140,73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193 140,73</w:t>
            </w:r>
          </w:p>
        </w:tc>
      </w:tr>
      <w:tr>
        <w:trPr>
          <w:trHeight w:val="822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 на реализацию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3 387,08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3 387,08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3 387,08</w:t>
            </w:r>
          </w:p>
        </w:tc>
      </w:tr>
      <w:tr>
        <w:trPr>
          <w:trHeight w:val="1103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4 986 568,25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4 986 568,25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4 986 568,25</w:t>
            </w:r>
          </w:p>
        </w:tc>
      </w:tr>
      <w:tr>
        <w:trPr>
          <w:trHeight w:val="557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- на осуществление государственных полномочий органов опеки и попечительства в отношении несовершеннолетних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2 028 917,00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2 124 542,00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2 203 220,00</w:t>
            </w:r>
          </w:p>
        </w:tc>
      </w:tr>
      <w:tr>
        <w:trPr>
          <w:trHeight w:val="898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  на социальную поддержку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18 699 987,22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19 225 042,66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  <w:t>19 771 539,76</w:t>
            </w:r>
          </w:p>
        </w:tc>
      </w:tr>
      <w:tr>
        <w:trPr>
          <w:trHeight w:val="1694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2 02 30029 14 0000 150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3 359 780,00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3 494 259,00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3 633 148,00</w:t>
            </w:r>
          </w:p>
        </w:tc>
      </w:tr>
      <w:tr>
        <w:trPr>
          <w:trHeight w:val="941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2 02 35118 14 0000 150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Субвенции бюджетам муниципальных 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1 261 035,00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1 306 380,00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1 352 940,00</w:t>
            </w:r>
          </w:p>
        </w:tc>
      </w:tr>
      <w:tr>
        <w:trPr>
          <w:trHeight w:val="255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10 530 000,00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17 667 000,00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17 667 000,00</w:t>
            </w:r>
          </w:p>
        </w:tc>
      </w:tr>
      <w:tr>
        <w:trPr>
          <w:trHeight w:val="255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1408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2 02 45303 14 0000 150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10 530 000,00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17 667 000,00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17 667 000,00</w:t>
            </w:r>
          </w:p>
        </w:tc>
      </w:tr>
      <w:tr>
        <w:trPr>
          <w:trHeight w:val="686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t> 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b/>
                <w:bCs/>
              </w:rPr>
              <w:t>Всего межбюджетных трансфертов, включаемых в состав расходов бюджета Лазовского муниципального округа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247 628 216,03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239 744 692,67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252 407 952,06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99" w:right="851" w:gutter="0" w:header="0" w:top="993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0"/>
      <w:lang w:val="ru-RU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eastAsia="Times New Roman"/>
      <w:b/>
      <w:bCs/>
      <w:szCs w:val="24"/>
    </w:rPr>
  </w:style>
  <w:style w:type="character" w:styleId="Style14">
    <w:name w:val="Основной текст Знак"/>
    <w:qFormat/>
    <w:rPr>
      <w:rFonts w:eastAsia="Times New Roman"/>
      <w:b/>
      <w:bCs/>
      <w:sz w:val="28"/>
      <w:szCs w:val="24"/>
    </w:rPr>
  </w:style>
  <w:style w:type="character" w:styleId="Style15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6">
    <w:name w:val="Верхний колонтитул Знак"/>
    <w:qFormat/>
    <w:rPr>
      <w:rFonts w:eastAsia="Times New Roman"/>
      <w:sz w:val="24"/>
      <w:szCs w:val="24"/>
    </w:rPr>
  </w:style>
  <w:style w:type="character" w:styleId="Style17">
    <w:name w:val="Нижний колонтитул Знак"/>
    <w:qFormat/>
    <w:rPr>
      <w:rFonts w:eastAsia="Times New Roman"/>
      <w:sz w:val="24"/>
      <w:szCs w:val="24"/>
    </w:rPr>
  </w:style>
  <w:style w:type="character" w:styleId="Style18">
    <w:name w:val="Текст сноски Знак"/>
    <w:qFormat/>
    <w:rPr>
      <w:rFonts w:eastAsia="Times New Roman"/>
    </w:rPr>
  </w:style>
  <w:style w:type="character" w:styleId="Style19">
    <w:name w:val="Символ сноски"/>
    <w:qFormat/>
    <w:rPr>
      <w:vertAlign w:val="superscript"/>
    </w:rPr>
  </w:style>
  <w:style w:type="character" w:styleId="Style20">
    <w:name w:val="Интернет-ссылка"/>
    <w:rPr>
      <w:color w:val="0000FF"/>
      <w:u w:val="single"/>
    </w:rPr>
  </w:style>
  <w:style w:type="character" w:styleId="Appleconvertedspace">
    <w:name w:val="apple-converted-space"/>
    <w:qFormat/>
    <w:rPr/>
  </w:style>
  <w:style w:type="character" w:styleId="Style21">
    <w:name w:val="Посещённая гиперссылка"/>
    <w:rPr>
      <w:color w:val="800080"/>
      <w:u w:val="single"/>
    </w:rPr>
  </w:style>
  <w:style w:type="character" w:styleId="Style22">
    <w:name w:val="Основной текст с отступом Знак"/>
    <w:qFormat/>
    <w:rPr>
      <w:rFonts w:eastAsia="Times New Roman"/>
      <w:spacing w:val="24"/>
      <w:sz w:val="24"/>
      <w:szCs w:val="24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Style24">
    <w:name w:val="Body Text"/>
    <w:basedOn w:val="Normal"/>
    <w:pPr>
      <w:jc w:val="center"/>
    </w:pPr>
    <w:rPr>
      <w:b/>
      <w:bCs/>
      <w:sz w:val="28"/>
      <w:lang w:val="ru-RU"/>
    </w:rPr>
  </w:style>
  <w:style w:type="paragraph" w:styleId="Style25">
    <w:name w:val="List"/>
    <w:basedOn w:val="Style24"/>
    <w:pPr/>
    <w:rPr>
      <w:rFonts w:cs="Noto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Noto Sans"/>
      <w:lang w:val="zxx" w:eastAsia="zxx" w:bidi="zxx"/>
    </w:rPr>
  </w:style>
  <w:style w:type="paragraph" w:styleId="Style28">
    <w:name w:val="Стиль в законе"/>
    <w:basedOn w:val="Normal"/>
    <w:qFormat/>
    <w:pPr>
      <w:spacing w:lineRule="auto" w:line="360" w:before="120" w:after="0"/>
      <w:ind w:firstLine="851"/>
      <w:jc w:val="both"/>
    </w:pPr>
    <w:rPr>
      <w:sz w:val="28"/>
      <w:szCs w:val="20"/>
    </w:rPr>
  </w:style>
  <w:style w:type="paragraph" w:styleId="U">
    <w:name w:val="u"/>
    <w:basedOn w:val="Normal"/>
    <w:qFormat/>
    <w:pPr>
      <w:ind w:firstLine="539"/>
      <w:jc w:val="both"/>
    </w:pPr>
    <w:rPr>
      <w:color w:val="000000"/>
      <w:sz w:val="15"/>
      <w:szCs w:val="15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30">
    <w:name w:val="Колонтитул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Style3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3">
    <w:name w:val="Без интервала"/>
    <w:qFormat/>
    <w:pPr>
      <w:widowControl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34">
    <w:name w:val="Footnote Text"/>
    <w:basedOn w:val="Normal"/>
    <w:pPr/>
    <w:rPr>
      <w:sz w:val="20"/>
      <w:szCs w:val="20"/>
      <w:lang w:val="ru-RU"/>
    </w:rPr>
  </w:style>
  <w:style w:type="paragraph" w:styleId="Style35">
    <w:name w:val="Абзац списка"/>
    <w:basedOn w:val="Normal"/>
    <w:qFormat/>
    <w:pPr>
      <w:ind w:left="708" w:hanging="0"/>
    </w:pPr>
    <w:rPr/>
  </w:style>
  <w:style w:type="paragraph" w:styleId="ConsNormal">
    <w:name w:val="ConsNormal"/>
    <w:qFormat/>
    <w:pPr>
      <w:widowControl w:val="false"/>
      <w:autoSpaceDE w:val="false"/>
      <w:bidi w:val="0"/>
      <w:ind w:right="19772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Font5">
    <w:name w:val="font5"/>
    <w:basedOn w:val="Normal"/>
    <w:qFormat/>
    <w:pPr>
      <w:spacing w:before="280" w:after="280"/>
    </w:pPr>
    <w:rPr>
      <w:rFonts w:ascii="Tahoma" w:hAnsi="Tahoma" w:cs="Tahoma"/>
      <w:color w:val="000000"/>
      <w:sz w:val="16"/>
      <w:szCs w:val="16"/>
    </w:rPr>
  </w:style>
  <w:style w:type="paragraph" w:styleId="Font6">
    <w:name w:val="font6"/>
    <w:basedOn w:val="Normal"/>
    <w:qFormat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styleId="Font7">
    <w:name w:val="font7"/>
    <w:basedOn w:val="Normal"/>
    <w:qFormat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styleId="Font8">
    <w:name w:val="font8"/>
    <w:basedOn w:val="Normal"/>
    <w:qFormat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styleId="Font9">
    <w:name w:val="font9"/>
    <w:basedOn w:val="Normal"/>
    <w:qFormat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styleId="Font10">
    <w:name w:val="font10"/>
    <w:basedOn w:val="Normal"/>
    <w:qFormat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styleId="Xl78">
    <w:name w:val="xl78"/>
    <w:basedOn w:val="Normal"/>
    <w:qFormat/>
    <w:pPr>
      <w:spacing w:before="280" w:after="280"/>
    </w:pPr>
    <w:rPr/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b/>
      <w:bCs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i/>
      <w:iCs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85">
    <w:name w:val="xl85"/>
    <w:basedOn w:val="Normal"/>
    <w:qFormat/>
    <w:pPr>
      <w:spacing w:before="280" w:after="280"/>
      <w:jc w:val="right"/>
    </w:pPr>
    <w:rPr/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/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b/>
      <w:bCs/>
      <w:i/>
      <w:iCs/>
    </w:rPr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/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b/>
      <w:bCs/>
    </w:rPr>
  </w:style>
  <w:style w:type="paragraph" w:styleId="Xl90">
    <w:name w:val="xl9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styleId="Xl91">
    <w:name w:val="xl9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/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styleId="Xl95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96">
    <w:name w:val="xl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/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8">
    <w:name w:val="xl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styleId="Xl100">
    <w:name w:val="xl100"/>
    <w:basedOn w:val="Normal"/>
    <w:qFormat/>
    <w:pPr>
      <w:spacing w:before="280" w:after="280"/>
      <w:jc w:val="center"/>
      <w:textAlignment w:val="top"/>
    </w:pPr>
    <w:rPr/>
  </w:style>
  <w:style w:type="paragraph" w:styleId="Xl101">
    <w:name w:val="xl101"/>
    <w:basedOn w:val="Normal"/>
    <w:qFormat/>
    <w:pPr>
      <w:spacing w:before="280" w:after="280"/>
    </w:pPr>
    <w:rPr>
      <w:b/>
      <w:bCs/>
    </w:rPr>
  </w:style>
  <w:style w:type="paragraph" w:styleId="Xl102">
    <w:name w:val="xl1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</w:rPr>
  </w:style>
  <w:style w:type="paragraph" w:styleId="Xl104">
    <w:name w:val="xl104"/>
    <w:basedOn w:val="Normal"/>
    <w:qFormat/>
    <w:pPr>
      <w:spacing w:before="280" w:after="280"/>
    </w:pPr>
    <w:rPr>
      <w:i/>
      <w:iCs/>
    </w:rPr>
  </w:style>
  <w:style w:type="paragraph" w:styleId="Xl105">
    <w:name w:val="xl105"/>
    <w:basedOn w:val="Normal"/>
    <w:qFormat/>
    <w:pPr>
      <w:spacing w:before="280" w:after="280"/>
    </w:pPr>
    <w:rPr>
      <w:b/>
      <w:bCs/>
      <w:i/>
      <w:iCs/>
    </w:rPr>
  </w:style>
  <w:style w:type="paragraph" w:styleId="Xl106">
    <w:name w:val="xl1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i/>
      <w:iCs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</w:rPr>
  </w:style>
  <w:style w:type="paragraph" w:styleId="Xl108">
    <w:name w:val="xl10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i/>
      <w:iCs/>
    </w:rPr>
  </w:style>
  <w:style w:type="paragraph" w:styleId="Xl109">
    <w:name w:val="xl10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</w:rPr>
  </w:style>
  <w:style w:type="paragraph" w:styleId="Xl110">
    <w:name w:val="xl110"/>
    <w:basedOn w:val="Normal"/>
    <w:qFormat/>
    <w:pPr>
      <w:spacing w:before="280" w:after="280"/>
      <w:textAlignment w:val="top"/>
    </w:pPr>
    <w:rPr/>
  </w:style>
  <w:style w:type="paragraph" w:styleId="Xl111">
    <w:name w:val="xl11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i/>
      <w:iCs/>
    </w:rPr>
  </w:style>
  <w:style w:type="paragraph" w:styleId="Xl112">
    <w:name w:val="xl11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i/>
      <w:iCs/>
    </w:rPr>
  </w:style>
  <w:style w:type="paragraph" w:styleId="Xl113">
    <w:name w:val="xl11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styleId="Xl114">
    <w:name w:val="xl11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i/>
      <w:iCs/>
    </w:rPr>
  </w:style>
  <w:style w:type="paragraph" w:styleId="Xl115">
    <w:name w:val="xl11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i/>
      <w:iCs/>
    </w:rPr>
  </w:style>
  <w:style w:type="paragraph" w:styleId="Xl116">
    <w:name w:val="xl1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styleId="Xl117">
    <w:name w:val="xl11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i/>
      <w:iCs/>
    </w:rPr>
  </w:style>
  <w:style w:type="paragraph" w:styleId="Xl118">
    <w:name w:val="xl11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i/>
      <w:iCs/>
    </w:rPr>
  </w:style>
  <w:style w:type="paragraph" w:styleId="Xl119">
    <w:name w:val="xl11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120">
    <w:name w:val="xl12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</w:rPr>
  </w:style>
  <w:style w:type="paragraph" w:styleId="Xl121">
    <w:name w:val="xl12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styleId="Xl122">
    <w:name w:val="xl12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Xl123">
    <w:name w:val="xl1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</w:rPr>
  </w:style>
  <w:style w:type="paragraph" w:styleId="Xl124">
    <w:name w:val="xl1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/>
  </w:style>
  <w:style w:type="paragraph" w:styleId="Xl125">
    <w:name w:val="xl1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126">
    <w:name w:val="xl126"/>
    <w:basedOn w:val="Normal"/>
    <w:qFormat/>
    <w:pPr>
      <w:spacing w:before="280" w:after="280"/>
      <w:textAlignment w:val="center"/>
    </w:pPr>
    <w:rPr>
      <w:b/>
      <w:bCs/>
    </w:rPr>
  </w:style>
  <w:style w:type="paragraph" w:styleId="Xl127">
    <w:name w:val="xl127"/>
    <w:basedOn w:val="Normal"/>
    <w:qFormat/>
    <w:pPr>
      <w:spacing w:before="280" w:after="280"/>
      <w:textAlignment w:val="center"/>
    </w:pPr>
    <w:rPr>
      <w:b/>
      <w:bCs/>
      <w:i/>
      <w:iCs/>
    </w:rPr>
  </w:style>
  <w:style w:type="paragraph" w:styleId="Xl128">
    <w:name w:val="xl1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b/>
      <w:bCs/>
    </w:rPr>
  </w:style>
  <w:style w:type="paragraph" w:styleId="Xl129">
    <w:name w:val="xl129"/>
    <w:basedOn w:val="Normal"/>
    <w:qFormat/>
    <w:pPr>
      <w:spacing w:before="280" w:after="280"/>
      <w:textAlignment w:val="center"/>
    </w:pPr>
    <w:rPr/>
  </w:style>
  <w:style w:type="paragraph" w:styleId="Xl130">
    <w:name w:val="xl1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/>
  </w:style>
  <w:style w:type="paragraph" w:styleId="Xl131">
    <w:name w:val="xl13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styleId="Xl132">
    <w:name w:val="xl13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</w:rPr>
  </w:style>
  <w:style w:type="paragraph" w:styleId="Xl133">
    <w:name w:val="xl13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styleId="Xl134">
    <w:name w:val="xl13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styleId="Xl135">
    <w:name w:val="xl13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</w:rPr>
  </w:style>
  <w:style w:type="paragraph" w:styleId="Xl136">
    <w:name w:val="xl1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</w:rPr>
  </w:style>
  <w:style w:type="paragraph" w:styleId="Xl137">
    <w:name w:val="xl13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i/>
      <w:iCs/>
    </w:rPr>
  </w:style>
  <w:style w:type="paragraph" w:styleId="Xl138">
    <w:name w:val="xl13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</w:rPr>
  </w:style>
  <w:style w:type="paragraph" w:styleId="Xl139">
    <w:name w:val="xl13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140">
    <w:name w:val="xl14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b/>
      <w:bCs/>
      <w:i/>
      <w:iCs/>
    </w:rPr>
  </w:style>
  <w:style w:type="paragraph" w:styleId="Xl141">
    <w:name w:val="xl1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styleId="Xl142">
    <w:name w:val="xl14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43">
    <w:name w:val="xl14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144">
    <w:name w:val="xl14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styleId="Xl145">
    <w:name w:val="xl14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i/>
      <w:iCs/>
    </w:rPr>
  </w:style>
  <w:style w:type="paragraph" w:styleId="Xl146">
    <w:name w:val="xl1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i/>
      <w:iCs/>
    </w:rPr>
  </w:style>
  <w:style w:type="paragraph" w:styleId="Xl147">
    <w:name w:val="xl14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i/>
      <w:iCs/>
    </w:rPr>
  </w:style>
  <w:style w:type="paragraph" w:styleId="Xl148">
    <w:name w:val="xl14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styleId="Xl149">
    <w:name w:val="xl14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150">
    <w:name w:val="xl15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51">
    <w:name w:val="xl151"/>
    <w:basedOn w:val="Normal"/>
    <w:qFormat/>
    <w:pPr>
      <w:spacing w:before="280" w:after="280"/>
      <w:textAlignment w:val="center"/>
    </w:pPr>
    <w:rPr>
      <w:b/>
      <w:bCs/>
    </w:rPr>
  </w:style>
  <w:style w:type="paragraph" w:styleId="Xl152">
    <w:name w:val="xl15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b/>
      <w:bCs/>
      <w:i/>
      <w:iCs/>
    </w:rPr>
  </w:style>
  <w:style w:type="paragraph" w:styleId="Xl153">
    <w:name w:val="xl15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</w:rPr>
  </w:style>
  <w:style w:type="paragraph" w:styleId="Xl154">
    <w:name w:val="xl15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155">
    <w:name w:val="xl15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/>
  </w:style>
  <w:style w:type="paragraph" w:styleId="Xl156">
    <w:name w:val="xl15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</w:rPr>
  </w:style>
  <w:style w:type="paragraph" w:styleId="Xl157">
    <w:name w:val="xl15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b/>
      <w:bCs/>
    </w:rPr>
  </w:style>
  <w:style w:type="paragraph" w:styleId="Xl158">
    <w:name w:val="xl15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styleId="Xl159">
    <w:name w:val="xl15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i/>
      <w:iCs/>
    </w:rPr>
  </w:style>
  <w:style w:type="paragraph" w:styleId="Xl160">
    <w:name w:val="xl16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161">
    <w:name w:val="xl16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</w:rPr>
  </w:style>
  <w:style w:type="paragraph" w:styleId="Xl162">
    <w:name w:val="xl16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4DFEC" w:val="clear"/>
      <w:spacing w:before="280" w:after="280"/>
      <w:jc w:val="both"/>
      <w:textAlignment w:val="top"/>
    </w:pPr>
    <w:rPr>
      <w:b/>
      <w:bCs/>
      <w:i/>
      <w:iCs/>
    </w:rPr>
  </w:style>
  <w:style w:type="paragraph" w:styleId="Xl163">
    <w:name w:val="xl1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4DFEC" w:val="clear"/>
      <w:spacing w:before="280" w:after="280"/>
      <w:jc w:val="center"/>
      <w:textAlignment w:val="center"/>
    </w:pPr>
    <w:rPr>
      <w:b/>
      <w:bCs/>
    </w:rPr>
  </w:style>
  <w:style w:type="paragraph" w:styleId="Xl164">
    <w:name w:val="xl1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4DFEC" w:val="clear"/>
      <w:spacing w:before="280" w:after="280"/>
      <w:jc w:val="right"/>
      <w:textAlignment w:val="center"/>
    </w:pPr>
    <w:rPr>
      <w:b/>
      <w:bCs/>
    </w:rPr>
  </w:style>
  <w:style w:type="paragraph" w:styleId="Xl165">
    <w:name w:val="xl1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4DFEC" w:val="clear"/>
      <w:spacing w:before="280" w:after="280"/>
      <w:jc w:val="both"/>
      <w:textAlignment w:val="center"/>
    </w:pPr>
    <w:rPr>
      <w:b/>
      <w:bCs/>
      <w:i/>
      <w:iCs/>
    </w:rPr>
  </w:style>
  <w:style w:type="paragraph" w:styleId="Xl166">
    <w:name w:val="xl1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4DFEC" w:val="clear"/>
      <w:spacing w:before="280" w:after="280"/>
      <w:jc w:val="center"/>
      <w:textAlignment w:val="center"/>
    </w:pPr>
    <w:rPr>
      <w:b/>
      <w:bCs/>
      <w:i/>
      <w:iCs/>
    </w:rPr>
  </w:style>
  <w:style w:type="paragraph" w:styleId="Xl167">
    <w:name w:val="xl1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4DFEC" w:val="clear"/>
      <w:spacing w:before="280" w:after="280"/>
      <w:jc w:val="right"/>
      <w:textAlignment w:val="center"/>
    </w:pPr>
    <w:rPr>
      <w:b/>
      <w:bCs/>
    </w:rPr>
  </w:style>
  <w:style w:type="paragraph" w:styleId="Style36">
    <w:name w:val="Body Text Indent"/>
    <w:basedOn w:val="Normal"/>
    <w:pPr>
      <w:autoSpaceDE w:val="false"/>
      <w:spacing w:lineRule="exact" w:line="240" w:before="0" w:after="120"/>
      <w:ind w:hanging="284"/>
      <w:jc w:val="center"/>
    </w:pPr>
    <w:rPr>
      <w:spacing w:val="24"/>
      <w:lang w:val="ru-RU"/>
    </w:rPr>
  </w:style>
  <w:style w:type="paragraph" w:styleId="12">
    <w:name w:val="Обычный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6"/>
      <w:szCs w:val="20"/>
      <w:lang w:val="ru-RU" w:bidi="ar-SA" w:eastAsia="zh-CN"/>
    </w:rPr>
  </w:style>
  <w:style w:type="paragraph" w:styleId="Style37">
    <w:name w:val="ЭЭГ"/>
    <w:basedOn w:val="Normal"/>
    <w:qFormat/>
    <w:pPr>
      <w:spacing w:lineRule="auto" w:line="360"/>
      <w:ind w:firstLine="720"/>
      <w:jc w:val="both"/>
    </w:pPr>
    <w:rPr/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8">
    <w:name w:val="Обычный (веб)"/>
    <w:basedOn w:val="Normal"/>
    <w:qFormat/>
    <w:pPr>
      <w:spacing w:lineRule="auto" w:line="360"/>
      <w:ind w:firstLine="709"/>
      <w:jc w:val="both"/>
    </w:pPr>
    <w:rPr>
      <w:rFonts w:ascii="Tahoma" w:hAnsi="Tahoma" w:cs="Tahoma"/>
      <w:sz w:val="16"/>
      <w:szCs w:val="16"/>
    </w:rPr>
  </w:style>
  <w:style w:type="paragraph" w:styleId="Style39">
    <w:name w:val="Содержимое таблицы"/>
    <w:basedOn w:val="Normal"/>
    <w:qFormat/>
    <w:pPr>
      <w:widowControl w:val="false"/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LibreOffice/7.3.6.2$Linux_X86_64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2022-11-09T09:35:00Z</dcterms:created>
  <dc:creator>Инна</dc:creator>
  <dc:description/>
  <cp:keywords/>
  <dc:language>ru-RU</dc:language>
  <cp:lastModifiedBy>SHlapunova</cp:lastModifiedBy>
  <cp:lastPrinted>2022-11-10T10:34:00Z</cp:lastPrinted>
  <dcterms:modified xsi:type="dcterms:W3CDTF">2022-11-10T06:57:00Z</dcterms:modified>
  <cp:revision>36</cp:revision>
  <dc:subject/>
  <dc:title/>
</cp:coreProperties>
</file>