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ru-RU"/>
        </w:rPr>
      </w:pPr>
      <w:r>
        <w:rPr>
          <w:lang w:val="ru-RU"/>
        </w:rPr>
        <w:t>Расчет предельных объемов</w:t>
      </w: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ge">
                  <wp:posOffset>1291590</wp:posOffset>
                </wp:positionV>
                <wp:extent cx="6113780" cy="62230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6223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2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11"/>
                              <w:gridCol w:w="1716"/>
                              <w:gridCol w:w="2218"/>
                              <w:gridCol w:w="2083"/>
                            </w:tblGrid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202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202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202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Собственные доходы -  всего, в том числе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256 293 408,87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257 013 617,34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261 897 157,2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Налог на доходы физических лиц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212 309 613,98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219 219 000,00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219 934 000,00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Дополнительный НДФЛ (52,2218492/45,6083985%;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45,3729094/39,4744312%;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42,8557818/37,2845302%)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151 636 952,00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153 693 124,00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144 844 570,00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Объем собственных доходов без учета безвозмездных поступлений  и налоговых доходов по дополнительному нормативу отчислений (НДФЛ)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104 656 456,87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103 320 493,34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117 052 587,00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Объем муниципального долга предельный- расчетный не более 50%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52 328 228,44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51 660 246,67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58 526 293,61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Предельный объем, предусмотренный в проекте бюджета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Расходы - всего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513 921 624,90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490 258 310,01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501 205 109,28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Субвенции, иные межбюджетные трансферты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211 617 777,37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229 960 225,47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240 907 337,57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Объем расходов на обслуживание муниципального долга предельный – расчетный не более 15%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45 345 577,00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39 044 713,00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39 044 666,00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Объем расходов на обслуживание муниципального долга, предусмотренный в проекте бюджета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Дефицит предельный – расчетный 10 %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10 465 645,00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10 332 049,00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11 705 259,00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Дефицит предусмотренный в проекте бюджета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10 000 000,00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andard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81.4pt;height:490pt;mso-wrap-distance-left:0pt;mso-wrap-distance-right:9pt;mso-wrap-distance-top:0pt;mso-wrap-distance-bottom:0pt;margin-top:101.7pt;mso-position-vertical-relative:page;margin-left:-5.4pt;mso-position-horizontal-relative:text">
                <v:fill opacity="0f"/>
                <v:textbox inset="0in,0in,0in,0in">
                  <w:txbxContent>
                    <w:tbl>
                      <w:tblPr>
                        <w:tblW w:w="962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11"/>
                        <w:gridCol w:w="1716"/>
                        <w:gridCol w:w="2218"/>
                        <w:gridCol w:w="2083"/>
                      </w:tblGrid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snapToGrid w:val="fals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 xml:space="preserve">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Собственные доходы -  всего, в том числе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256 293 408,87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257 013 617,34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261 897 157,2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Налог на доходы физических лиц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212 309 613,98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219 219 000,00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219 934 000,00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Дополнительный НДФЛ (52,2218492/45,6083985%;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45,3729094/39,4744312%;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42,8557818/37,2845302%)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151 636 952,00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153 693 124,00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144 844 570,00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Объем собственных доходов без учета безвозмездных поступлений  и налоговых доходов по дополнительному нормативу отчислений (НДФЛ)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104 656 456,87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103 320 493,34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117 052 587,00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Объем муниципального долга предельный- расчетный не более 50%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52 328 228,44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51 660 246,67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58 526 293,61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Предельный объем, предусмотренный в проекте бюджета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Расходы - всего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513 921 624,90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490 258 310,01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501 205 109,28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Субвенции, иные межбюджетные трансферты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211 617 777,37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229 960 225,47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240 907 337,57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Объем расходов на обслуживание муниципального долга предельный – расчетный не более 15%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45 345 577,00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39 044 713,00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39 044 666,00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Объем расходов на обслуживание муниципального долга, предусмотренный в проекте бюджета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Дефицит предельный – расчетный 10 %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10 465 645,00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10 332 049,00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11 705 259,00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Дефицит предусмотренный в проекте бюджета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10 000 000,00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0,00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Liberation Serif" w:hAnsi="Liberation Serif" w:eastAsia="SimSun;宋体" w:cs="Mangal"/>
      <w:kern w:val="2"/>
      <w:sz w:val="24"/>
      <w:szCs w:val="21"/>
      <w:lang w:val="en-US" w:eastAsia="zh-CN" w:bidi="hi-IN"/>
    </w:rPr>
  </w:style>
  <w:style w:type="character" w:styleId="Style16">
    <w:name w:val="Нижний колонтитул Знак"/>
    <w:qFormat/>
    <w:rPr>
      <w:rFonts w:ascii="Liberation Serif" w:hAnsi="Liberation Serif" w:eastAsia="SimSun;宋体" w:cs="Mangal"/>
      <w:kern w:val="2"/>
      <w:sz w:val="24"/>
      <w:szCs w:val="21"/>
      <w:lang w:val="en-US" w:eastAsia="zh-CN" w:bidi="hi-IN"/>
    </w:rPr>
  </w:style>
  <w:style w:type="character" w:styleId="Style17">
    <w:name w:val="Текст выноски Знак"/>
    <w:qFormat/>
    <w:rPr>
      <w:rFonts w:ascii="Segoe UI" w:hAnsi="Segoe UI" w:eastAsia="SimSun;宋体" w:cs="Mangal"/>
      <w:kern w:val="2"/>
      <w:sz w:val="18"/>
      <w:szCs w:val="16"/>
      <w:lang w:val="en-US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24">
    <w:name w:val="Header"/>
    <w:basedOn w:val="Normal"/>
    <w:pPr/>
    <w:rPr>
      <w:szCs w:val="21"/>
    </w:rPr>
  </w:style>
  <w:style w:type="paragraph" w:styleId="Style25">
    <w:name w:val="Footer"/>
    <w:basedOn w:val="Normal"/>
    <w:pPr/>
    <w:rPr>
      <w:szCs w:val="21"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6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2021-10-07T00:48:00Z</dcterms:created>
  <dc:creator>SHlapunova</dc:creator>
  <dc:description/>
  <cp:keywords/>
  <dc:language>ru-RU</dc:language>
  <cp:lastModifiedBy>SHlapunova</cp:lastModifiedBy>
  <cp:lastPrinted>2021-11-02T10:53:00Z</cp:lastPrinted>
  <dcterms:modified xsi:type="dcterms:W3CDTF">2022-11-09T09:12:00Z</dcterms:modified>
  <cp:revision>13</cp:revision>
  <dc:subject/>
  <dc:title/>
</cp:coreProperties>
</file>