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E6" w:rsidRDefault="00A50C07" w:rsidP="00A50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Меры поддержки малого и среднего предпринимательства</w:t>
      </w:r>
    </w:p>
    <w:p w:rsidR="00317ACE" w:rsidRPr="00263576" w:rsidRDefault="000C17CC" w:rsidP="00A50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bookmarkStart w:id="0" w:name="_GoBack"/>
      <w:bookmarkEnd w:id="0"/>
      <w:r w:rsidR="00317ACE">
        <w:rPr>
          <w:rFonts w:ascii="Times New Roman" w:hAnsi="Times New Roman" w:cs="Times New Roman"/>
          <w:b/>
          <w:sz w:val="26"/>
          <w:szCs w:val="26"/>
        </w:rPr>
        <w:t>еализуемые министерством экономического развития Приморского края</w:t>
      </w:r>
    </w:p>
    <w:p w:rsidR="00A50C07" w:rsidRPr="00263576" w:rsidRDefault="00A50C07" w:rsidP="00A50C07">
      <w:pPr>
        <w:rPr>
          <w:rFonts w:ascii="Times New Roman" w:hAnsi="Times New Roman" w:cs="Times New Roman"/>
          <w:sz w:val="26"/>
          <w:szCs w:val="26"/>
        </w:rPr>
      </w:pPr>
    </w:p>
    <w:p w:rsidR="00AC05B6" w:rsidRPr="00263576" w:rsidRDefault="00AC05B6" w:rsidP="00AC05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 xml:space="preserve">Малый и средний бизнес – до </w:t>
      </w:r>
      <w:r w:rsidRPr="00263576">
        <w:rPr>
          <w:rFonts w:ascii="Times New Roman" w:hAnsi="Times New Roman" w:cs="Times New Roman"/>
          <w:b/>
          <w:sz w:val="26"/>
          <w:szCs w:val="26"/>
        </w:rPr>
        <w:t>2 млрд. рублей</w:t>
      </w:r>
      <w:r w:rsidRPr="00263576">
        <w:rPr>
          <w:rFonts w:ascii="Times New Roman" w:hAnsi="Times New Roman" w:cs="Times New Roman"/>
          <w:sz w:val="26"/>
          <w:szCs w:val="26"/>
        </w:rPr>
        <w:t xml:space="preserve"> годовая выручка, до </w:t>
      </w:r>
      <w:r w:rsidRPr="00263576">
        <w:rPr>
          <w:rFonts w:ascii="Times New Roman" w:hAnsi="Times New Roman" w:cs="Times New Roman"/>
          <w:b/>
          <w:sz w:val="26"/>
          <w:szCs w:val="26"/>
        </w:rPr>
        <w:t>250 работников</w:t>
      </w:r>
      <w:r w:rsidRPr="00263576">
        <w:rPr>
          <w:rFonts w:ascii="Times New Roman" w:hAnsi="Times New Roman" w:cs="Times New Roman"/>
          <w:sz w:val="26"/>
          <w:szCs w:val="26"/>
        </w:rPr>
        <w:t xml:space="preserve">. Реестр субъектов МСП ведет ФНС </w:t>
      </w:r>
      <w:r w:rsidRPr="00263576">
        <w:rPr>
          <w:rFonts w:ascii="Times New Roman" w:hAnsi="Times New Roman" w:cs="Times New Roman"/>
          <w:b/>
          <w:sz w:val="26"/>
          <w:szCs w:val="26"/>
        </w:rPr>
        <w:t>rmsp.nalog.ru</w:t>
      </w:r>
    </w:p>
    <w:p w:rsidR="00AC05B6" w:rsidRPr="00263576" w:rsidRDefault="00AC05B6" w:rsidP="00A50C07">
      <w:pPr>
        <w:rPr>
          <w:rFonts w:ascii="Times New Roman" w:hAnsi="Times New Roman" w:cs="Times New Roman"/>
          <w:sz w:val="26"/>
          <w:szCs w:val="26"/>
        </w:rPr>
      </w:pPr>
    </w:p>
    <w:p w:rsidR="00A50C07" w:rsidRPr="00263576" w:rsidRDefault="00AC05B6" w:rsidP="00B54CCF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ФИНАНСОВАЯ ПОДДЕРЖКА:</w:t>
      </w:r>
    </w:p>
    <w:p w:rsidR="00C27AFD" w:rsidRPr="00263576" w:rsidRDefault="00C27AFD" w:rsidP="00C27A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B71695" w:rsidRPr="00263576">
        <w:rPr>
          <w:rFonts w:ascii="Times New Roman" w:hAnsi="Times New Roman" w:cs="Times New Roman"/>
          <w:b/>
          <w:sz w:val="26"/>
          <w:szCs w:val="26"/>
        </w:rPr>
        <w:t>а</w:t>
      </w:r>
      <w:r w:rsidRPr="00263576">
        <w:rPr>
          <w:rFonts w:ascii="Times New Roman" w:hAnsi="Times New Roman" w:cs="Times New Roman"/>
          <w:b/>
          <w:sz w:val="26"/>
          <w:szCs w:val="26"/>
        </w:rPr>
        <w:t xml:space="preserve"> льготного кредитования малого и среднего бизнеса «Программа 8,5%</w:t>
      </w:r>
      <w:r w:rsidR="00B71695" w:rsidRPr="00263576">
        <w:rPr>
          <w:rFonts w:ascii="Times New Roman" w:hAnsi="Times New Roman" w:cs="Times New Roman"/>
          <w:b/>
          <w:sz w:val="26"/>
          <w:szCs w:val="26"/>
        </w:rPr>
        <w:t>»</w:t>
      </w:r>
      <w:r w:rsidRPr="00263576">
        <w:rPr>
          <w:rFonts w:ascii="Times New Roman" w:hAnsi="Times New Roman" w:cs="Times New Roman"/>
          <w:b/>
          <w:sz w:val="26"/>
          <w:szCs w:val="26"/>
        </w:rPr>
        <w:t>,</w:t>
      </w:r>
      <w:r w:rsidRPr="00263576">
        <w:rPr>
          <w:rFonts w:ascii="Times New Roman" w:hAnsi="Times New Roman" w:cs="Times New Roman"/>
          <w:sz w:val="26"/>
          <w:szCs w:val="26"/>
        </w:rPr>
        <w:t xml:space="preserve"> которая предусматривает конечную ставку для заёмщика не более 8,5% годовых.</w:t>
      </w:r>
    </w:p>
    <w:p w:rsidR="00C27AFD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Кредит можно получить:</w:t>
      </w:r>
    </w:p>
    <w:p w:rsidR="00C27AFD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на инвестиционные цели:</w:t>
      </w:r>
      <w:r w:rsidR="00B71695" w:rsidRPr="00263576">
        <w:rPr>
          <w:rFonts w:ascii="Times New Roman" w:hAnsi="Times New Roman" w:cs="Times New Roman"/>
          <w:sz w:val="26"/>
          <w:szCs w:val="26"/>
        </w:rPr>
        <w:t xml:space="preserve"> </w:t>
      </w:r>
      <w:r w:rsidRPr="00263576">
        <w:rPr>
          <w:rFonts w:ascii="Times New Roman" w:hAnsi="Times New Roman" w:cs="Times New Roman"/>
          <w:sz w:val="26"/>
          <w:szCs w:val="26"/>
        </w:rPr>
        <w:t>в размере от 500 тыс. рублей до 1 млрд. рублей на срок до 10 лет; в размере от 500 тыс. рублей до 2 млрд. рублей на срок до 10 лет в приоритетных отраслях (туризм и деятельность гостиниц).</w:t>
      </w:r>
    </w:p>
    <w:p w:rsidR="007D0AB2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на пополнение оборотных средств:</w:t>
      </w:r>
      <w:r w:rsidR="00B71695" w:rsidRPr="00263576">
        <w:rPr>
          <w:rFonts w:ascii="Times New Roman" w:hAnsi="Times New Roman" w:cs="Times New Roman"/>
          <w:sz w:val="26"/>
          <w:szCs w:val="26"/>
        </w:rPr>
        <w:t xml:space="preserve"> </w:t>
      </w:r>
      <w:r w:rsidRPr="00263576">
        <w:rPr>
          <w:rFonts w:ascii="Times New Roman" w:hAnsi="Times New Roman" w:cs="Times New Roman"/>
          <w:sz w:val="26"/>
          <w:szCs w:val="26"/>
        </w:rPr>
        <w:t>в размере 500 тыс. рублей до 500 млн. рублей на срок до 3 лет.</w:t>
      </w:r>
    </w:p>
    <w:p w:rsidR="00C27AFD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 xml:space="preserve">Получить деньги под 8,5% могут субъекты малого и среднего бизнеса, которые работают в сферах здравоохранения, образования, культуры, спорта, сельского хозяйства, строительства, информатизации и связи, туризма, гостеприимства и общественного питания, бытовых услуг, а также обрабатывающие производства, компании, которые профессионально занимаются научной и технической деятельностью, оказывают услуги водоснабжения и водоотведения, обеспечивают сбор, обработку и утилизацию отходов. </w:t>
      </w:r>
    </w:p>
    <w:p w:rsidR="00C27AFD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На территории Приморского края действует 2</w:t>
      </w:r>
      <w:r w:rsidR="00F25B5F">
        <w:rPr>
          <w:rFonts w:ascii="Times New Roman" w:hAnsi="Times New Roman" w:cs="Times New Roman"/>
          <w:sz w:val="26"/>
          <w:szCs w:val="26"/>
        </w:rPr>
        <w:t>7</w:t>
      </w:r>
      <w:r w:rsidRPr="00263576">
        <w:rPr>
          <w:rFonts w:ascii="Times New Roman" w:hAnsi="Times New Roman" w:cs="Times New Roman"/>
          <w:sz w:val="26"/>
          <w:szCs w:val="26"/>
        </w:rPr>
        <w:t xml:space="preserve"> банков – </w:t>
      </w:r>
      <w:r w:rsidR="00771FE7" w:rsidRPr="00263576">
        <w:rPr>
          <w:rFonts w:ascii="Times New Roman" w:hAnsi="Times New Roman" w:cs="Times New Roman"/>
          <w:sz w:val="26"/>
          <w:szCs w:val="26"/>
        </w:rPr>
        <w:t>у</w:t>
      </w:r>
      <w:r w:rsidRPr="00263576">
        <w:rPr>
          <w:rFonts w:ascii="Times New Roman" w:hAnsi="Times New Roman" w:cs="Times New Roman"/>
          <w:sz w:val="26"/>
          <w:szCs w:val="26"/>
        </w:rPr>
        <w:t>частников программы: АО «Банк ДОМ.РФ», ПАО «МТС-Банк», ПАО Банк «ФК Открытие», АО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Роял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 xml:space="preserve"> Кредит Банк», ПАО КБ «САММИТ БАНК», АО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Солид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 xml:space="preserve"> Банк», «Азиатско-Тихоокеанский Банк» (ПАО), АО «ВЛАДБИЗНЕСБАНК» Банк ВТБ (ПАО), Банк ГПБ (АО), АО «Банк 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Интеза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», АО «МСП Банк», ПАО СКБ Приморья «Примсоцбанк», АО «Райффайзенбанк», ПАО РОСБАНК, ПАО «Сбербанк России», ПАО «Промсвязьбанк», АО «АЛЬФА-БАНК», Банк «Возрождение» (ПАО), ПАО «Дальневосточный банк», МОРСКОЙ БАНК (АО), АО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», ПАО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Совкомбанк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», ООО «Банк Стандарт-Кредит», ООО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Примтеркомбанк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», АКБ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Алмазэргиэнбанк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 АО.</w:t>
      </w:r>
    </w:p>
    <w:p w:rsidR="00C27AFD" w:rsidRPr="00263576" w:rsidRDefault="00C27AFD" w:rsidP="00B54CCF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</w:p>
    <w:p w:rsidR="00C27AFD" w:rsidRDefault="00AC05B6" w:rsidP="00CB25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252E">
        <w:rPr>
          <w:rFonts w:ascii="Times New Roman" w:hAnsi="Times New Roman" w:cs="Times New Roman"/>
          <w:b/>
          <w:sz w:val="26"/>
          <w:szCs w:val="26"/>
        </w:rPr>
        <w:t>Микрофинансовые продукты</w:t>
      </w:r>
      <w:r w:rsidRPr="00CB252E">
        <w:rPr>
          <w:rFonts w:ascii="Times New Roman" w:hAnsi="Times New Roman" w:cs="Times New Roman"/>
          <w:sz w:val="26"/>
          <w:szCs w:val="26"/>
        </w:rPr>
        <w:t xml:space="preserve">. </w:t>
      </w:r>
      <w:r w:rsidR="006273BB" w:rsidRPr="00CB252E">
        <w:rPr>
          <w:rFonts w:ascii="Times New Roman" w:hAnsi="Times New Roman" w:cs="Times New Roman"/>
          <w:sz w:val="26"/>
          <w:szCs w:val="26"/>
        </w:rPr>
        <w:t>Микрокредитная компания Приморского края</w:t>
      </w:r>
      <w:r w:rsidR="00C27AFD" w:rsidRPr="00CB252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C27AFD" w:rsidRPr="00CB252E">
          <w:rPr>
            <w:rFonts w:ascii="Times New Roman" w:hAnsi="Times New Roman" w:cs="Times New Roman"/>
            <w:sz w:val="26"/>
            <w:szCs w:val="26"/>
          </w:rPr>
          <w:t>https://mfoprim.ru</w:t>
        </w:r>
      </w:hyperlink>
      <w:r w:rsidR="00C27AFD" w:rsidRPr="00CB252E">
        <w:rPr>
          <w:rFonts w:ascii="Times New Roman" w:hAnsi="Times New Roman" w:cs="Times New Roman"/>
          <w:sz w:val="26"/>
          <w:szCs w:val="26"/>
        </w:rPr>
        <w:t>)</w:t>
      </w:r>
      <w:r w:rsidR="006273BB" w:rsidRPr="00CB252E">
        <w:rPr>
          <w:rFonts w:ascii="Times New Roman" w:hAnsi="Times New Roman" w:cs="Times New Roman"/>
          <w:sz w:val="26"/>
          <w:szCs w:val="26"/>
        </w:rPr>
        <w:t xml:space="preserve"> – предоставляет з</w:t>
      </w:r>
      <w:r w:rsidRPr="00CB252E">
        <w:rPr>
          <w:rFonts w:ascii="Times New Roman" w:hAnsi="Times New Roman" w:cs="Times New Roman"/>
          <w:sz w:val="26"/>
          <w:szCs w:val="26"/>
        </w:rPr>
        <w:t>аймы до 5 миллионов рублей на период до 3 лет по ставке</w:t>
      </w:r>
      <w:r w:rsidR="009B56D8" w:rsidRPr="00CB252E">
        <w:rPr>
          <w:rFonts w:ascii="Times New Roman" w:hAnsi="Times New Roman" w:cs="Times New Roman"/>
          <w:sz w:val="26"/>
          <w:szCs w:val="26"/>
        </w:rPr>
        <w:t xml:space="preserve"> от</w:t>
      </w:r>
      <w:r w:rsidR="00C27AFD" w:rsidRPr="00CB252E">
        <w:rPr>
          <w:rFonts w:ascii="Times New Roman" w:hAnsi="Times New Roman" w:cs="Times New Roman"/>
          <w:sz w:val="26"/>
          <w:szCs w:val="26"/>
        </w:rPr>
        <w:t xml:space="preserve"> </w:t>
      </w:r>
      <w:r w:rsidR="006F1FCC" w:rsidRPr="00CB252E">
        <w:rPr>
          <w:rFonts w:ascii="Times New Roman" w:hAnsi="Times New Roman" w:cs="Times New Roman"/>
          <w:sz w:val="26"/>
          <w:szCs w:val="26"/>
        </w:rPr>
        <w:t>6</w:t>
      </w:r>
      <w:r w:rsidR="00CB252E" w:rsidRPr="00CB252E">
        <w:rPr>
          <w:rFonts w:ascii="Times New Roman" w:hAnsi="Times New Roman" w:cs="Times New Roman"/>
          <w:sz w:val="26"/>
          <w:szCs w:val="26"/>
        </w:rPr>
        <w:t xml:space="preserve">% годовых, а для предпринимателей в моногородах </w:t>
      </w:r>
      <w:r w:rsidR="00CB252E">
        <w:rPr>
          <w:rFonts w:ascii="Times New Roman" w:hAnsi="Times New Roman" w:cs="Times New Roman"/>
          <w:sz w:val="26"/>
          <w:szCs w:val="26"/>
        </w:rPr>
        <w:t>–</w:t>
      </w:r>
      <w:r w:rsidR="00CB252E" w:rsidRPr="00CB252E">
        <w:rPr>
          <w:rFonts w:ascii="Times New Roman" w:hAnsi="Times New Roman" w:cs="Times New Roman"/>
          <w:sz w:val="26"/>
          <w:szCs w:val="26"/>
        </w:rPr>
        <w:t xml:space="preserve"> </w:t>
      </w:r>
      <w:r w:rsidR="00CB252E">
        <w:rPr>
          <w:rFonts w:ascii="Times New Roman" w:hAnsi="Times New Roman" w:cs="Times New Roman"/>
          <w:sz w:val="26"/>
          <w:szCs w:val="26"/>
        </w:rPr>
        <w:t xml:space="preserve">от </w:t>
      </w:r>
      <w:r w:rsidR="00CB252E" w:rsidRPr="00CB252E">
        <w:rPr>
          <w:rFonts w:ascii="Times New Roman" w:hAnsi="Times New Roman" w:cs="Times New Roman"/>
          <w:sz w:val="26"/>
          <w:szCs w:val="26"/>
        </w:rPr>
        <w:t>3% годовых</w:t>
      </w:r>
      <w:r w:rsidR="00CB252E">
        <w:rPr>
          <w:rFonts w:ascii="Times New Roman" w:hAnsi="Times New Roman" w:cs="Times New Roman"/>
          <w:sz w:val="26"/>
          <w:szCs w:val="26"/>
        </w:rPr>
        <w:t>.</w:t>
      </w:r>
      <w:r w:rsidR="00CB252E" w:rsidRPr="00CB25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52E" w:rsidRPr="00263576" w:rsidRDefault="00CB252E" w:rsidP="00CB252E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50C07" w:rsidRPr="00263576" w:rsidRDefault="00A50C07" w:rsidP="00B54C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Программа льготного кредитования Корпорации МСП</w:t>
      </w:r>
      <w:r w:rsidRPr="00263576">
        <w:rPr>
          <w:rFonts w:ascii="Times New Roman" w:hAnsi="Times New Roman" w:cs="Times New Roman"/>
          <w:sz w:val="26"/>
          <w:szCs w:val="26"/>
        </w:rPr>
        <w:t>. Совместно с Минэкономразвития России и Банком России Корпорация разработала </w:t>
      </w:r>
      <w:hyperlink r:id="rId6" w:tgtFrame="_blank" w:history="1">
        <w:r w:rsidRPr="00263576">
          <w:rPr>
            <w:rFonts w:ascii="Times New Roman" w:hAnsi="Times New Roman" w:cs="Times New Roman"/>
            <w:sz w:val="26"/>
            <w:szCs w:val="26"/>
          </w:rPr>
          <w:t>Программу стимулирования кредитования субъектов МСП</w:t>
        </w:r>
      </w:hyperlink>
      <w:r w:rsidRPr="00263576">
        <w:rPr>
          <w:rFonts w:ascii="Times New Roman" w:hAnsi="Times New Roman" w:cs="Times New Roman"/>
          <w:sz w:val="26"/>
          <w:szCs w:val="26"/>
        </w:rPr>
        <w:t>, которая фиксирует процентные ставки по кредитам в сумме не менее 3 млн рублей для предприятий, реализующих проекты в приоритетных отраслях экономики, на уровне до 9,</w:t>
      </w:r>
      <w:r w:rsidR="00F25B5F">
        <w:rPr>
          <w:rFonts w:ascii="Times New Roman" w:hAnsi="Times New Roman" w:cs="Times New Roman"/>
          <w:sz w:val="26"/>
          <w:szCs w:val="26"/>
        </w:rPr>
        <w:t>1</w:t>
      </w:r>
      <w:r w:rsidRPr="00263576">
        <w:rPr>
          <w:rFonts w:ascii="Times New Roman" w:hAnsi="Times New Roman" w:cs="Times New Roman"/>
          <w:sz w:val="26"/>
          <w:szCs w:val="26"/>
        </w:rPr>
        <w:t>% годовых, в иных отраслях – до 10,</w:t>
      </w:r>
      <w:r w:rsidR="00F25B5F">
        <w:rPr>
          <w:rFonts w:ascii="Times New Roman" w:hAnsi="Times New Roman" w:cs="Times New Roman"/>
          <w:sz w:val="26"/>
          <w:szCs w:val="26"/>
        </w:rPr>
        <w:t>1</w:t>
      </w:r>
      <w:r w:rsidRPr="00263576">
        <w:rPr>
          <w:rFonts w:ascii="Times New Roman" w:hAnsi="Times New Roman" w:cs="Times New Roman"/>
          <w:sz w:val="26"/>
          <w:szCs w:val="26"/>
        </w:rPr>
        <w:t xml:space="preserve">% годовых. </w:t>
      </w:r>
      <w:r w:rsidRPr="00263576">
        <w:rPr>
          <w:rFonts w:ascii="Times New Roman" w:hAnsi="Times New Roman" w:cs="Times New Roman"/>
          <w:b/>
          <w:sz w:val="26"/>
          <w:szCs w:val="26"/>
        </w:rPr>
        <w:t>corpmsp.ru/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</w:rPr>
        <w:t>bankam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</w:rPr>
        <w:t>programma_stimulir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</w:p>
    <w:p w:rsidR="00A50C07" w:rsidRPr="00263576" w:rsidRDefault="00A50C07" w:rsidP="00B54CCF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</w:p>
    <w:p w:rsidR="00A50C07" w:rsidRPr="00263576" w:rsidRDefault="00A50C07" w:rsidP="00B54C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 xml:space="preserve">Программа льготного лизинга Корпорации МСП. </w:t>
      </w:r>
      <w:r w:rsidRPr="00263576">
        <w:rPr>
          <w:rFonts w:ascii="Times New Roman" w:hAnsi="Times New Roman" w:cs="Times New Roman"/>
          <w:sz w:val="26"/>
          <w:szCs w:val="26"/>
        </w:rPr>
        <w:t xml:space="preserve">В рамках программы льготного лизинга оборудование предоставляется субъектам индивидуального и малого предпринимательства по ставке 6% годовых (для отечественного оборудования) и 8% годовых </w:t>
      </w:r>
      <w:r w:rsidR="00CB252E">
        <w:rPr>
          <w:rFonts w:ascii="Times New Roman" w:hAnsi="Times New Roman" w:cs="Times New Roman"/>
          <w:sz w:val="26"/>
          <w:szCs w:val="26"/>
        </w:rPr>
        <w:t>(для иностранного оборудования)</w:t>
      </w:r>
      <w:r w:rsidRPr="002635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corpmsp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finansovaya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podderzhka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lizingovaya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podderzhka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</w:p>
    <w:p w:rsidR="00AC05B6" w:rsidRPr="00263576" w:rsidRDefault="00AC05B6" w:rsidP="006273BB">
      <w:pPr>
        <w:rPr>
          <w:rFonts w:ascii="Times New Roman" w:hAnsi="Times New Roman" w:cs="Times New Roman"/>
          <w:sz w:val="26"/>
          <w:szCs w:val="26"/>
        </w:rPr>
      </w:pPr>
    </w:p>
    <w:p w:rsidR="00AC05B6" w:rsidRPr="00263576" w:rsidRDefault="00A50C07" w:rsidP="00B54C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Гарантийная</w:t>
      </w:r>
      <w:r w:rsidR="00AC05B6" w:rsidRPr="00263576">
        <w:rPr>
          <w:rFonts w:ascii="Times New Roman" w:hAnsi="Times New Roman" w:cs="Times New Roman"/>
          <w:b/>
          <w:sz w:val="26"/>
          <w:szCs w:val="26"/>
        </w:rPr>
        <w:t xml:space="preserve"> поддержка</w:t>
      </w:r>
      <w:r w:rsidR="00AC05B6" w:rsidRPr="00263576">
        <w:rPr>
          <w:rFonts w:ascii="Times New Roman" w:hAnsi="Times New Roman" w:cs="Times New Roman"/>
          <w:sz w:val="26"/>
          <w:szCs w:val="26"/>
        </w:rPr>
        <w:t>. Гарантийный фонд Приморского края и Корпорация МСП.</w:t>
      </w: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Гарантийный фонд</w:t>
      </w:r>
      <w:r w:rsidRPr="00263576">
        <w:rPr>
          <w:rFonts w:ascii="Times New Roman" w:hAnsi="Times New Roman" w:cs="Times New Roman"/>
          <w:sz w:val="26"/>
          <w:szCs w:val="26"/>
        </w:rPr>
        <w:t xml:space="preserve"> - предоставляет поручительство по кредитным договорам, договорам лизинга и банковской гарантии компаниям малого и среднего бизнеса. </w:t>
      </w:r>
      <w:r w:rsidR="00B54CCF" w:rsidRPr="00263576">
        <w:rPr>
          <w:rFonts w:ascii="Times New Roman" w:hAnsi="Times New Roman" w:cs="Times New Roman"/>
          <w:b/>
          <w:sz w:val="26"/>
          <w:szCs w:val="26"/>
        </w:rPr>
        <w:t xml:space="preserve">www.garantprim.ru, (423) 2-440-440, </w:t>
      </w:r>
      <w:hyperlink r:id="rId7" w:history="1">
        <w:r w:rsidR="00B54CCF" w:rsidRPr="00263576">
          <w:rPr>
            <w:rFonts w:ascii="Times New Roman" w:hAnsi="Times New Roman" w:cs="Times New Roman"/>
            <w:b/>
            <w:sz w:val="26"/>
            <w:szCs w:val="26"/>
          </w:rPr>
          <w:t>info@garantprim.ru</w:t>
        </w:r>
      </w:hyperlink>
    </w:p>
    <w:p w:rsidR="00B71695" w:rsidRDefault="00B71695" w:rsidP="004B35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5FD1" w:rsidRPr="00263576" w:rsidRDefault="00AF5FD1" w:rsidP="004B35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lastRenderedPageBreak/>
        <w:t>Национальная гарантийная система</w:t>
      </w:r>
      <w:r w:rsidRPr="00263576">
        <w:rPr>
          <w:rFonts w:ascii="Times New Roman" w:hAnsi="Times New Roman" w:cs="Times New Roman"/>
          <w:sz w:val="26"/>
          <w:szCs w:val="26"/>
        </w:rPr>
        <w:t xml:space="preserve"> (в том числе МСП Банк) - предоставляет поручительство по кредитным договорам, договорам лизинга и банковской гарантии компаниям малого и среднего бизнеса от 25 млн. рублей, а также гарантии в рамках 223-ФЗ и 44-ФЗ. </w:t>
      </w:r>
      <w:r w:rsidRPr="00263576">
        <w:rPr>
          <w:rFonts w:ascii="Times New Roman" w:hAnsi="Times New Roman" w:cs="Times New Roman"/>
          <w:b/>
          <w:sz w:val="26"/>
          <w:szCs w:val="26"/>
        </w:rPr>
        <w:t>corpmsp.ru/finansovaya-podderzhka/garantiynaya-podderzhka-subektov-msp-ngs/</w:t>
      </w: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ИМУЩЕСТВЕННАЯ ПОДДЕРЖКА.</w:t>
      </w: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Органами власти формируется реестр имущества, для предоставления субъектам МСП</w:t>
      </w:r>
      <w:r w:rsidR="002E5B32" w:rsidRPr="00263576">
        <w:rPr>
          <w:rFonts w:ascii="Times New Roman" w:hAnsi="Times New Roman" w:cs="Times New Roman"/>
          <w:sz w:val="26"/>
          <w:szCs w:val="26"/>
        </w:rPr>
        <w:t xml:space="preserve">. Сегодня в реестр свыше </w:t>
      </w:r>
      <w:r w:rsidR="00CA01E7" w:rsidRPr="00263576">
        <w:rPr>
          <w:rFonts w:ascii="Times New Roman" w:hAnsi="Times New Roman" w:cs="Times New Roman"/>
          <w:sz w:val="26"/>
          <w:szCs w:val="26"/>
        </w:rPr>
        <w:t>60</w:t>
      </w:r>
      <w:r w:rsidR="000C7317" w:rsidRPr="00263576">
        <w:rPr>
          <w:rFonts w:ascii="Times New Roman" w:hAnsi="Times New Roman" w:cs="Times New Roman"/>
          <w:sz w:val="26"/>
          <w:szCs w:val="26"/>
        </w:rPr>
        <w:t>0</w:t>
      </w:r>
      <w:r w:rsidR="002E5B32" w:rsidRPr="00263576">
        <w:rPr>
          <w:rFonts w:ascii="Times New Roman" w:hAnsi="Times New Roman" w:cs="Times New Roman"/>
          <w:sz w:val="26"/>
          <w:szCs w:val="26"/>
        </w:rPr>
        <w:t xml:space="preserve"> объектов. </w:t>
      </w:r>
      <w:r w:rsidRPr="00263576">
        <w:rPr>
          <w:rFonts w:ascii="Times New Roman" w:hAnsi="Times New Roman" w:cs="Times New Roman"/>
          <w:sz w:val="26"/>
          <w:szCs w:val="26"/>
        </w:rPr>
        <w:t xml:space="preserve"> mb.primorsky.ru/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start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locations</w:t>
      </w:r>
      <w:proofErr w:type="spellEnd"/>
    </w:p>
    <w:p w:rsidR="002E5B32" w:rsidRPr="00263576" w:rsidRDefault="002E5B32" w:rsidP="00B54CCF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273BB" w:rsidRPr="00263576" w:rsidRDefault="006273BB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НАЛОГОВЫЕ ЛЬГОТЫ.</w:t>
      </w:r>
    </w:p>
    <w:p w:rsidR="006273BB" w:rsidRPr="00263576" w:rsidRDefault="006273BB" w:rsidP="006273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в Приморском крае действует режим «Налоговые каникулы» (освобождение от уплаты УСН или ПСН в течении двух налоговых периодов) для предпринимателей, плательщиков упрощенной и патентной систем налогообложения, введенный законами Приморского края от 23.06.2015 № 645-КЗ и от 19.11.2015 № 713-КЗ.</w:t>
      </w:r>
    </w:p>
    <w:p w:rsidR="006273BB" w:rsidRPr="00263576" w:rsidRDefault="006273BB" w:rsidP="006273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действует закон Приморского края от 13.12.2018 № 414-КЗ «Об установлении пониженных налоговых ставок при применении упрощенной системы налогообложения». </w:t>
      </w:r>
    </w:p>
    <w:p w:rsidR="006273BB" w:rsidRPr="00263576" w:rsidRDefault="006273BB" w:rsidP="006273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5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вводит два вида льготных налоговых ставок. В случае, если объектом налогообложения являются доходы, ставка составляет 3%, а если налогом облагается разница между доходами и расходами, ставка составляет 7,5%.</w:t>
      </w:r>
    </w:p>
    <w:p w:rsidR="006273BB" w:rsidRPr="00263576" w:rsidRDefault="006273BB" w:rsidP="006273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1695" w:rsidRPr="00263576" w:rsidRDefault="00B71695" w:rsidP="006273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3558" w:rsidRPr="00263576" w:rsidRDefault="004B3558" w:rsidP="006273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4CCF" w:rsidRPr="00263576" w:rsidRDefault="002E5B32" w:rsidP="006273BB">
      <w:pPr>
        <w:pStyle w:val="a3"/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 xml:space="preserve">ИНФОРМАЦИОННАЯ ПОДДЕРЖКА. </w:t>
      </w:r>
    </w:p>
    <w:p w:rsidR="006273BB" w:rsidRPr="00263576" w:rsidRDefault="006273BB" w:rsidP="006273BB">
      <w:pPr>
        <w:pStyle w:val="a3"/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1695" w:rsidRPr="00263576" w:rsidRDefault="002E5B32" w:rsidP="00965646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 xml:space="preserve">Центр «Мой Бизнес» </w:t>
      </w:r>
      <w:proofErr w:type="spellStart"/>
      <w:r w:rsidR="00B54CCF" w:rsidRPr="00263576">
        <w:rPr>
          <w:rFonts w:ascii="Times New Roman" w:hAnsi="Times New Roman" w:cs="Times New Roman"/>
          <w:sz w:val="26"/>
          <w:szCs w:val="26"/>
          <w:lang w:val="en-US"/>
        </w:rPr>
        <w:t>mb</w:t>
      </w:r>
      <w:proofErr w:type="spellEnd"/>
      <w:r w:rsidR="00B54CCF" w:rsidRPr="002635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54CCF" w:rsidRPr="00263576"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 w:rsidR="00B54CCF" w:rsidRPr="002635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54CCF" w:rsidRPr="0026357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54CCF" w:rsidRPr="0026357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B71695" w:rsidRPr="00263576">
          <w:rPr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="00B71695" w:rsidRPr="00263576">
          <w:rPr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B71695" w:rsidRPr="00263576">
          <w:rPr>
            <w:rFonts w:ascii="Times New Roman" w:hAnsi="Times New Roman" w:cs="Times New Roman"/>
            <w:sz w:val="26"/>
            <w:szCs w:val="26"/>
            <w:lang w:val="en-US"/>
          </w:rPr>
          <w:t>cpp</w:t>
        </w:r>
        <w:proofErr w:type="spellEnd"/>
        <w:r w:rsidR="00B71695" w:rsidRPr="00263576">
          <w:rPr>
            <w:rFonts w:ascii="Times New Roman" w:hAnsi="Times New Roman" w:cs="Times New Roman"/>
            <w:sz w:val="26"/>
            <w:szCs w:val="26"/>
          </w:rPr>
          <w:t>25.</w:t>
        </w:r>
        <w:proofErr w:type="spellStart"/>
        <w:r w:rsidR="00B71695" w:rsidRPr="00263576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71695" w:rsidRPr="00263576">
        <w:rPr>
          <w:rFonts w:ascii="Times New Roman" w:hAnsi="Times New Roman" w:cs="Times New Roman"/>
          <w:sz w:val="26"/>
          <w:szCs w:val="26"/>
        </w:rPr>
        <w:t xml:space="preserve">, </w:t>
      </w:r>
      <w:r w:rsidRPr="00263576">
        <w:rPr>
          <w:rFonts w:ascii="Times New Roman" w:hAnsi="Times New Roman" w:cs="Times New Roman"/>
          <w:sz w:val="26"/>
          <w:szCs w:val="26"/>
        </w:rPr>
        <w:t>(423)279-59-09</w:t>
      </w:r>
      <w:r w:rsidR="00965646" w:rsidRPr="00263576">
        <w:rPr>
          <w:rFonts w:ascii="Times New Roman" w:hAnsi="Times New Roman" w:cs="Times New Roman"/>
          <w:sz w:val="26"/>
          <w:szCs w:val="26"/>
        </w:rPr>
        <w:t>, +7</w:t>
      </w:r>
      <w:r w:rsidR="00B71695" w:rsidRPr="00263576">
        <w:rPr>
          <w:rFonts w:ascii="Times New Roman" w:hAnsi="Times New Roman" w:cs="Times New Roman"/>
          <w:sz w:val="26"/>
          <w:szCs w:val="26"/>
        </w:rPr>
        <w:t>950293-96-63</w:t>
      </w:r>
    </w:p>
    <w:p w:rsidR="00B71695" w:rsidRPr="00263576" w:rsidRDefault="00B71695" w:rsidP="00B71695">
      <w:pPr>
        <w:pStyle w:val="a3"/>
        <w:shd w:val="clear" w:color="auto" w:fill="FFFFFF"/>
        <w:ind w:firstLine="426"/>
        <w:jc w:val="both"/>
        <w:rPr>
          <w:rFonts w:ascii="PT Sans" w:hAnsi="PT Sans"/>
          <w:color w:val="212529"/>
          <w:sz w:val="26"/>
          <w:szCs w:val="26"/>
        </w:rPr>
      </w:pPr>
    </w:p>
    <w:p w:rsidR="002E5B32" w:rsidRPr="00263576" w:rsidRDefault="002E5B32" w:rsidP="00B54CCF">
      <w:pPr>
        <w:pStyle w:val="a3"/>
        <w:shd w:val="clear" w:color="auto" w:fill="FFFFFF"/>
        <w:ind w:left="360" w:firstLine="426"/>
        <w:jc w:val="both"/>
        <w:rPr>
          <w:rFonts w:ascii="PT Sans" w:hAnsi="PT Sans"/>
          <w:color w:val="212529"/>
          <w:sz w:val="26"/>
          <w:szCs w:val="26"/>
        </w:rPr>
      </w:pPr>
    </w:p>
    <w:p w:rsidR="002E5B32" w:rsidRPr="00263576" w:rsidRDefault="002E5B32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PT Sans" w:hAnsi="PT Sans"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Консультации</w:t>
      </w:r>
      <w:r w:rsidRPr="00263576">
        <w:rPr>
          <w:rFonts w:ascii="Times New Roman" w:hAnsi="Times New Roman" w:cs="Times New Roman"/>
          <w:sz w:val="26"/>
          <w:szCs w:val="26"/>
        </w:rPr>
        <w:t xml:space="preserve"> по вопросам ведения бизнеса. Запись на консультации </w:t>
      </w:r>
    </w:p>
    <w:p w:rsidR="002E5B32" w:rsidRPr="00263576" w:rsidRDefault="002E5B32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PT Sans" w:hAnsi="PT Sans"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 xml:space="preserve">Реклама и продвижение. </w:t>
      </w:r>
      <w:r w:rsidRPr="00263576">
        <w:rPr>
          <w:rFonts w:ascii="Times New Roman" w:hAnsi="Times New Roman" w:cs="Times New Roman"/>
          <w:sz w:val="26"/>
          <w:szCs w:val="26"/>
        </w:rPr>
        <w:t>Помогаем с аналитикой, рекламой и продвижением бизнеса</w:t>
      </w:r>
    </w:p>
    <w:p w:rsidR="002E5B32" w:rsidRPr="00263576" w:rsidRDefault="002E5B32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 xml:space="preserve">Обучение. </w:t>
      </w:r>
      <w:r w:rsidRPr="00263576">
        <w:rPr>
          <w:rFonts w:ascii="Times New Roman" w:hAnsi="Times New Roman" w:cs="Times New Roman"/>
          <w:bCs/>
          <w:color w:val="212529"/>
          <w:sz w:val="26"/>
          <w:szCs w:val="26"/>
        </w:rPr>
        <w:t>Организуем</w:t>
      </w: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r w:rsidRPr="00263576">
        <w:rPr>
          <w:rFonts w:ascii="Times New Roman" w:hAnsi="Times New Roman" w:cs="Times New Roman"/>
          <w:bCs/>
          <w:color w:val="212529"/>
          <w:sz w:val="26"/>
          <w:szCs w:val="26"/>
        </w:rPr>
        <w:t>Тематические тренинги и семинары для субъектов малого и среднего предпринимательства, в том числе по заявкам от бизнеса и органов власти.</w:t>
      </w:r>
    </w:p>
    <w:p w:rsidR="007630DD" w:rsidRPr="00263576" w:rsidRDefault="007630DD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>Акселерационные программы</w:t>
      </w:r>
    </w:p>
    <w:p w:rsidR="00965646" w:rsidRPr="00263576" w:rsidRDefault="00965646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>Поддержка производственных предприятий</w:t>
      </w:r>
    </w:p>
    <w:p w:rsidR="00965646" w:rsidRPr="00263576" w:rsidRDefault="00965646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>Продвижение на экспорт</w:t>
      </w:r>
    </w:p>
    <w:p w:rsidR="004B3558" w:rsidRPr="00263576" w:rsidRDefault="004B3558" w:rsidP="002F247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212529"/>
          <w:sz w:val="26"/>
          <w:szCs w:val="26"/>
        </w:rPr>
      </w:pPr>
    </w:p>
    <w:p w:rsidR="002F2475" w:rsidRPr="00263576" w:rsidRDefault="002F2475" w:rsidP="002F247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Информационный портал</w:t>
      </w:r>
      <w:r w:rsidRPr="0026357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63576">
        <w:rPr>
          <w:rFonts w:ascii="Times New Roman" w:hAnsi="Times New Roman" w:cs="Times New Roman"/>
          <w:sz w:val="26"/>
          <w:szCs w:val="26"/>
          <w:lang w:val="en-US"/>
        </w:rPr>
        <w:t>mb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63576"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6357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D5145" w:rsidRPr="00263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0BA" w:rsidRPr="00263576" w:rsidRDefault="00F550BA" w:rsidP="002F247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F2475" w:rsidRPr="00263576" w:rsidRDefault="002F2475" w:rsidP="002F247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63576">
        <w:rPr>
          <w:noProof/>
          <w:sz w:val="26"/>
          <w:szCs w:val="26"/>
          <w:lang w:eastAsia="ru-RU"/>
        </w:rPr>
        <w:drawing>
          <wp:inline distT="0" distB="0" distL="0" distR="0" wp14:anchorId="3879AC94" wp14:editId="2EDE8E3F">
            <wp:extent cx="1023582" cy="1023582"/>
            <wp:effectExtent l="0" t="0" r="5715" b="5715"/>
            <wp:docPr id="2" name="Рисунок 2" descr="C:\Users\natarov_ip\Desktop\Порт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rov_ip\Desktop\Порта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08" cy="108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75" w:rsidRPr="00263576" w:rsidRDefault="002F2475" w:rsidP="002F247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E5B32" w:rsidRPr="00263576" w:rsidRDefault="002E5B32" w:rsidP="002E5B32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2E5B32" w:rsidRPr="00263576" w:rsidSect="00263576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CA2"/>
    <w:multiLevelType w:val="hybridMultilevel"/>
    <w:tmpl w:val="CB6C762A"/>
    <w:lvl w:ilvl="0" w:tplc="C6263D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8E0E29"/>
    <w:multiLevelType w:val="hybridMultilevel"/>
    <w:tmpl w:val="BD76DA38"/>
    <w:lvl w:ilvl="0" w:tplc="454A7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7"/>
    <w:rsid w:val="00044EFD"/>
    <w:rsid w:val="0005386D"/>
    <w:rsid w:val="000C17CC"/>
    <w:rsid w:val="000C7317"/>
    <w:rsid w:val="00263576"/>
    <w:rsid w:val="002E5B32"/>
    <w:rsid w:val="002F2475"/>
    <w:rsid w:val="00317ACE"/>
    <w:rsid w:val="003C76C6"/>
    <w:rsid w:val="004B3558"/>
    <w:rsid w:val="006273BB"/>
    <w:rsid w:val="00683B3C"/>
    <w:rsid w:val="006F1FCC"/>
    <w:rsid w:val="007630DD"/>
    <w:rsid w:val="00771FE7"/>
    <w:rsid w:val="007D0AB2"/>
    <w:rsid w:val="00897CB0"/>
    <w:rsid w:val="00965646"/>
    <w:rsid w:val="009B56D8"/>
    <w:rsid w:val="00A50C07"/>
    <w:rsid w:val="00AC05B6"/>
    <w:rsid w:val="00AF5FD1"/>
    <w:rsid w:val="00B54CCF"/>
    <w:rsid w:val="00B67EC5"/>
    <w:rsid w:val="00B71695"/>
    <w:rsid w:val="00BD5145"/>
    <w:rsid w:val="00C1730C"/>
    <w:rsid w:val="00C27AFD"/>
    <w:rsid w:val="00CA01E7"/>
    <w:rsid w:val="00CB252E"/>
    <w:rsid w:val="00D73129"/>
    <w:rsid w:val="00F25B5F"/>
    <w:rsid w:val="00F550BA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FB38"/>
  <w15:docId w15:val="{40D723E1-CD6E-4687-963B-5C14A54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C05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C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0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C73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17"/>
    <w:rPr>
      <w:rFonts w:ascii="Segoe UI" w:hAnsi="Segoe UI" w:cs="Segoe UI"/>
      <w:sz w:val="18"/>
      <w:szCs w:val="18"/>
    </w:rPr>
  </w:style>
  <w:style w:type="paragraph" w:customStyle="1" w:styleId="productshort-description">
    <w:name w:val="product__short-description"/>
    <w:basedOn w:val="a"/>
    <w:rsid w:val="00C27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pp2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rant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upload/0e9/%D0%9F%D1%80%D0%BE%D0%B3%D1%80%D0%B0%D0%BC%D0%BC%D0%B0_%D0%BA%D1%80_%D0%B1%D0%BB%D0%B0%D0%BD%D0%B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fopri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laz</cp:lastModifiedBy>
  <cp:revision>4</cp:revision>
  <cp:lastPrinted>2020-02-25T10:02:00Z</cp:lastPrinted>
  <dcterms:created xsi:type="dcterms:W3CDTF">2020-03-25T02:05:00Z</dcterms:created>
  <dcterms:modified xsi:type="dcterms:W3CDTF">2020-03-31T06:26:00Z</dcterms:modified>
</cp:coreProperties>
</file>