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2748915</wp:posOffset>
            </wp:positionH>
            <wp:positionV relativeFrom="paragraph">
              <wp:posOffset>33655</wp:posOffset>
            </wp:positionV>
            <wp:extent cx="979170" cy="576580"/>
            <wp:effectExtent l="0" t="0" r="0" b="0"/>
            <wp:wrapNone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1"/>
        <w:spacing w:lineRule="auto" w:line="360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26"/>
        </w:rPr>
        <w:t>АДМИНИСТРАЦИЯ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ЛАЗОВСКОГО </w:t>
      </w:r>
      <w:r>
        <w:rPr>
          <w:rFonts w:ascii="Times New Roman" w:hAnsi="Times New Roman"/>
          <w:b/>
          <w:sz w:val="26"/>
        </w:rPr>
        <w:t>МУНИЦИПАЛЬНОГО</w:t>
      </w:r>
      <w:r>
        <w:rPr>
          <w:rFonts w:ascii="Times New Roman" w:hAnsi="Times New Roman"/>
          <w:b/>
          <w:sz w:val="24"/>
        </w:rPr>
        <w:t xml:space="preserve"> ОКРУГА ПРИМОРСКОГО КРАЯ</w:t>
      </w:r>
    </w:p>
    <w:p>
      <w:pPr>
        <w:pStyle w:val="Normal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mc:AlternateContent>
          <mc:Choice Requires="wps">
            <w:drawing>
              <wp:anchor behindDoc="0" distT="10160" distB="9525" distL="9525" distR="10160" simplePos="0" locked="0" layoutInCell="1" allowOverlap="1" relativeHeight="2">
                <wp:simplePos x="0" y="0"/>
                <wp:positionH relativeFrom="column">
                  <wp:posOffset>65405</wp:posOffset>
                </wp:positionH>
                <wp:positionV relativeFrom="paragraph">
                  <wp:posOffset>117475</wp:posOffset>
                </wp:positionV>
                <wp:extent cx="6177280" cy="1270"/>
                <wp:effectExtent l="9525" t="10160" r="10160" b="9525"/>
                <wp:wrapNone/>
                <wp:docPr id="2" name="Pictur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4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9.25pt" to="491.5pt,9.3pt" ID="Picture 3" stroked="t" o:allowincell="f" style="position:absolute">
                <v:stroke color="black" weight="190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</w:t>
      </w:r>
    </w:p>
    <w:p>
      <w:pPr>
        <w:pStyle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29.12.2023</w:t>
      </w:r>
      <w:r>
        <w:rPr>
          <w:rFonts w:ascii="Times New Roman" w:hAnsi="Times New Roman"/>
          <w:sz w:val="26"/>
        </w:rPr>
        <w:t xml:space="preserve">г.                                             </w:t>
      </w:r>
      <w:bookmarkStart w:id="0" w:name="_GoBack"/>
      <w:bookmarkEnd w:id="0"/>
      <w:r>
        <w:rPr>
          <w:rFonts w:ascii="Times New Roman" w:hAnsi="Times New Roman"/>
          <w:sz w:val="26"/>
        </w:rPr>
        <w:t xml:space="preserve"> с. Лазо                                                         №923</w:t>
      </w:r>
    </w:p>
    <w:p>
      <w:pPr>
        <w:pStyle w:val="Normal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color w:val="000000"/>
          <w:sz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2024год </w:t>
      </w:r>
    </w:p>
    <w:p>
      <w:pPr>
        <w:pStyle w:val="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spacing w:lineRule="auto" w:line="276"/>
        <w:ind w:left="0" w:righ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Лазовского муниципального округа, администрация Лазовского муниципального округа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 w:val="false"/>
          <w:sz w:val="26"/>
        </w:rPr>
        <w:t>ПОСТАНОВЛЯЕТ:</w:t>
      </w:r>
    </w:p>
    <w:p>
      <w:pPr>
        <w:pStyle w:val="Normal"/>
        <w:widowControl/>
        <w:spacing w:lineRule="auto" w:line="276" w:before="0" w:after="0"/>
        <w:ind w:left="0" w:right="0"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false"/>
          <w:sz w:val="26"/>
        </w:rPr>
        <w:t xml:space="preserve"> </w:t>
      </w:r>
    </w:p>
    <w:p>
      <w:pPr>
        <w:pStyle w:val="Normal"/>
        <w:widowControl/>
        <w:spacing w:lineRule="auto" w:line="276" w:before="0" w:after="0"/>
        <w:ind w:left="0" w:right="0"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6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rFonts w:ascii="Times New Roman" w:hAnsi="Times New Roman"/>
          <w:b w:val="false"/>
          <w:color w:val="000000"/>
          <w:sz w:val="26"/>
        </w:rPr>
        <w:t>4</w:t>
      </w:r>
      <w:r>
        <w:rPr>
          <w:rFonts w:ascii="Times New Roman" w:hAnsi="Times New Roman"/>
          <w:b w:val="false"/>
          <w:sz w:val="26"/>
        </w:rPr>
        <w:t xml:space="preserve"> год.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2. Начальнику управления делами администрации Лазовского муниципального округа обеспечить размещение настоящего постановления на официальном сайте администрации Лазовского муниципального округа.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</w:rPr>
        <w:t>3</w:t>
      </w:r>
      <w:r>
        <w:rPr>
          <w:rFonts w:ascii="Times New Roman" w:hAnsi="Times New Roman"/>
          <w:sz w:val="26"/>
        </w:rPr>
        <w:t>. Настоящее постановление вступает в силу со дня опубликования и применяется с 01.01.202</w:t>
      </w:r>
      <w:r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sz w:val="26"/>
        </w:rPr>
        <w:t xml:space="preserve"> г.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Г</w:t>
      </w:r>
      <w:r>
        <w:rPr>
          <w:rFonts w:ascii="Times New Roman" w:hAnsi="Times New Roman"/>
          <w:sz w:val="26"/>
        </w:rPr>
        <w:t>лав</w:t>
      </w:r>
      <w:r>
        <w:rPr>
          <w:rFonts w:ascii="Times New Roman" w:hAnsi="Times New Roman"/>
          <w:color w:val="000000"/>
          <w:sz w:val="26"/>
        </w:rPr>
        <w:t>а</w:t>
      </w:r>
      <w:r>
        <w:rPr>
          <w:rFonts w:ascii="Times New Roman" w:hAnsi="Times New Roman"/>
          <w:sz w:val="26"/>
        </w:rPr>
        <w:t xml:space="preserve"> Лазовского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муниципального округа</w:t>
        <w:tab/>
        <w:tab/>
        <w:t xml:space="preserve">                                                           Ю. А. Мосальский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tbl>
      <w:tblPr>
        <w:tblW w:w="4111" w:type="dxa"/>
        <w:jc w:val="left"/>
        <w:tblInd w:w="52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остановлением администрации Лазовского муниципального</w:t>
            </w:r>
            <w:bookmarkStart w:id="1" w:name="_GoBack1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округа от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29.12.2023</w:t>
            </w:r>
            <w:r>
              <w:rPr>
                <w:rFonts w:ascii="Times New Roman" w:hAnsi="Times New Roman"/>
                <w:sz w:val="24"/>
                <w:szCs w:val="24"/>
              </w:rPr>
              <w:t>г№ 923</w:t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(внес. измен. 09.08.2024 №555)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ПРОФИЛАКТИКИ РИСКОВ ПРИЧИНЕНИЯ ВРЕДА (УЩЕРБА)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ОХРАНЯЕМЫМ ЗАКОНОМ ЦЕННОСТЯМ ПРИ ОСУЩЕСТВЛЕНИИ МУНИЦИПАЛЬНОГО КОНТРОЛЯ В СФЕРЕ БЛАГОУСТРОЙСТВА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</w:t>
      </w:r>
      <w:r>
        <w:rPr>
          <w:rFonts w:ascii="Times New Roman" w:hAnsi="Times New Roman"/>
          <w:b/>
          <w:color w:val="000000"/>
          <w:sz w:val="28"/>
        </w:rPr>
        <w:t xml:space="preserve">4 </w:t>
      </w:r>
      <w:r>
        <w:rPr>
          <w:rFonts w:ascii="Times New Roman" w:hAnsi="Times New Roman"/>
          <w:b/>
          <w:sz w:val="28"/>
        </w:rPr>
        <w:t xml:space="preserve">ГОД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1"/>
        <w:spacing w:before="0" w:after="0"/>
        <w:ind w:left="0" w:right="142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1"/>
        <w:spacing w:before="0" w:after="0"/>
        <w:ind w:left="0" w:right="142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ПАСПОРТ</w:t>
      </w:r>
    </w:p>
    <w:p>
      <w:pPr>
        <w:pStyle w:val="1"/>
        <w:spacing w:before="0" w:after="0"/>
        <w:ind w:left="0" w:right="142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sz w:val="26"/>
        </w:rPr>
        <w:t xml:space="preserve"> год</w:t>
      </w:r>
    </w:p>
    <w:p>
      <w:pPr>
        <w:pStyle w:val="1"/>
        <w:spacing w:before="0" w:after="0"/>
        <w:ind w:left="0" w:right="142" w:hanging="0"/>
        <w:jc w:val="center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tbl>
      <w:tblPr>
        <w:tblW w:w="96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567"/>
      </w:tblGrid>
      <w:tr>
        <w:trPr>
          <w:trHeight w:val="982" w:hRule="atLeas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Наименование Программы 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  <w:r>
              <w:rPr>
                <w:rFonts w:ascii="Times New Roman" w:hAnsi="Times New Roman"/>
                <w:sz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      </w:r>
            <w:r>
              <w:rPr>
                <w:rFonts w:ascii="Times New Roman" w:hAnsi="Times New Roman"/>
                <w:color w:val="000000"/>
                <w:sz w:val="26"/>
              </w:rPr>
              <w:t>4</w:t>
            </w:r>
            <w:r>
              <w:rPr>
                <w:rFonts w:ascii="Times New Roman" w:hAnsi="Times New Roman"/>
                <w:sz w:val="26"/>
              </w:rPr>
              <w:t xml:space="preserve"> год</w:t>
            </w:r>
          </w:p>
        </w:tc>
      </w:tr>
      <w:tr>
        <w:trPr>
          <w:trHeight w:val="982" w:hRule="atLeas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Правовые основания разработки программы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  <w:r>
              <w:rPr>
                <w:rFonts w:ascii="Times New Roman" w:hAnsi="Times New Roman"/>
                <w:sz w:val="26"/>
              </w:rPr>
              <w:t>- Федеральный закон от 06.10.2003 №131-ФЗ «Об общих принципах организации местного самоуправления в Российской Федерации;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  <w:r>
              <w:rPr>
                <w:rFonts w:ascii="Times New Roman" w:hAnsi="Times New Roman"/>
                <w:sz w:val="26"/>
              </w:rPr>
              <w:t>- 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>
            <w:pPr>
              <w:pStyle w:val="Normal"/>
              <w:widowControl w:val="false"/>
              <w:spacing w:lineRule="auto" w:line="240"/>
              <w:ind w:left="0" w:right="0"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  <w:r>
              <w:rPr>
                <w:rFonts w:ascii="Times New Roman" w:hAnsi="Times New Roman"/>
                <w:sz w:val="26"/>
              </w:rPr>
              <w:t>- Постановление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>
        <w:trPr>
          <w:trHeight w:val="659" w:hRule="atLeas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6"/>
              </w:rPr>
              <w:t>Уполномоченный орган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  <w:r>
              <w:rPr>
                <w:rFonts w:ascii="Times New Roman" w:hAnsi="Times New Roman"/>
                <w:sz w:val="26"/>
              </w:rPr>
              <w:t>Отдел жилищно-коммунального хозяйства администрации Лазовского муниципального округа.</w:t>
            </w:r>
          </w:p>
        </w:tc>
      </w:tr>
      <w:tr>
        <w:trPr>
          <w:trHeight w:val="274" w:hRule="atLeas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Цели Программы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  <w:r>
              <w:rPr>
                <w:rFonts w:ascii="Times New Roman" w:hAnsi="Times New Roman"/>
                <w:sz w:val="26"/>
              </w:rPr>
              <w:t xml:space="preserve">- предотвращение рисков причинения вреда охраняемым законом ценностям;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  <w:r>
              <w:rPr>
                <w:rFonts w:ascii="Times New Roman" w:hAnsi="Times New Roman"/>
                <w:sz w:val="26"/>
              </w:rPr>
              <w:t xml:space="preserve">- предупреждение нарушений обязательных требований (снижение числа нарушений обязательных требований) в подконтрольной сфере общественных отношений;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  <w:r>
              <w:rPr>
                <w:rFonts w:ascii="Times New Roman" w:hAnsi="Times New Roman"/>
                <w:sz w:val="26"/>
              </w:rPr>
              <w:t xml:space="preserve">-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  <w:r>
              <w:rPr>
                <w:rFonts w:ascii="Times New Roman" w:hAnsi="Times New Roman"/>
                <w:sz w:val="26"/>
              </w:rPr>
              <w:t xml:space="preserve">- снижение издержек, повышение эффективности исполнения функций органа муниципального контроля;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  <w:r>
              <w:rPr>
                <w:rFonts w:ascii="Times New Roman" w:hAnsi="Times New Roman"/>
                <w:sz w:val="26"/>
              </w:rPr>
              <w:t>- повышение эффективности взаимодействия между подконтрольными субъектами и органом муниципального контроля.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Задачи Программы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  <w:r>
              <w:rPr>
                <w:rFonts w:ascii="Times New Roman" w:hAnsi="Times New Roman"/>
                <w:sz w:val="26"/>
              </w:rPr>
              <w:t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  <w:r>
              <w:rPr>
                <w:rFonts w:ascii="Times New Roman" w:hAnsi="Times New Roman"/>
                <w:sz w:val="26"/>
              </w:rPr>
              <w:t xml:space="preserve">- выявление причин, факторов и условий, влекущих нарушения требований, в ходе проведения проверок, осмотров, обследований;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  <w:r>
              <w:rPr>
                <w:rFonts w:ascii="Times New Roman" w:hAnsi="Times New Roman"/>
                <w:sz w:val="26"/>
              </w:rPr>
              <w:t>-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администрации.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Сроки и этапы реализации Программы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  <w:r>
              <w:rPr>
                <w:rFonts w:ascii="Times New Roman" w:hAnsi="Times New Roman"/>
                <w:sz w:val="26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</w:rPr>
              <w:t>4</w:t>
            </w:r>
            <w:r>
              <w:rPr>
                <w:rFonts w:ascii="Times New Roman" w:hAnsi="Times New Roman"/>
                <w:sz w:val="26"/>
              </w:rPr>
              <w:t xml:space="preserve"> год</w:t>
            </w:r>
          </w:p>
        </w:tc>
      </w:tr>
      <w:tr>
        <w:trPr>
          <w:trHeight w:val="803" w:hRule="atLeas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6"/>
              </w:rPr>
              <w:t>Источники финансирования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</w:rPr>
            </w:pPr>
            <w:r>
              <w:rPr>
                <w:sz w:val="26"/>
              </w:rPr>
              <w:t xml:space="preserve">     </w:t>
            </w:r>
            <w:r>
              <w:rPr>
                <w:sz w:val="26"/>
              </w:rPr>
              <w:t>Финансирование не предусмотрено</w:t>
            </w:r>
          </w:p>
        </w:tc>
      </w:tr>
      <w:tr>
        <w:trPr>
          <w:trHeight w:val="346" w:hRule="atLeas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6"/>
              </w:rPr>
              <w:t xml:space="preserve">Ожидаемые конечные результаты 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8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  <w:r>
              <w:rPr>
                <w:rFonts w:ascii="Times New Roman" w:hAnsi="Times New Roman"/>
                <w:sz w:val="26"/>
              </w:rPr>
              <w:t>- снижение рисков причинения вреда охраняемым законом ценностям;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  <w:r>
              <w:rPr>
                <w:rFonts w:ascii="Times New Roman" w:hAnsi="Times New Roman"/>
                <w:sz w:val="26"/>
              </w:rPr>
              <w:t>- увеличение доли законопослушных подконтрольных субъектов»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  <w:r>
              <w:rPr>
                <w:rFonts w:ascii="Times New Roman" w:hAnsi="Times New Roman"/>
                <w:sz w:val="26"/>
              </w:rPr>
              <w:t>- внедрение различных способов профилактики;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  <w:r>
              <w:rPr>
                <w:rFonts w:ascii="Times New Roman" w:hAnsi="Times New Roman"/>
                <w:sz w:val="26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  <w:r>
              <w:rPr>
                <w:rFonts w:ascii="Times New Roman" w:hAnsi="Times New Roman"/>
                <w:sz w:val="26"/>
              </w:rPr>
              <w:t>- обеспечение квалифицированной профилактической работы должностных лиц контрольно-надзорного органа;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  <w:r>
              <w:rPr>
                <w:rFonts w:ascii="Times New Roman" w:hAnsi="Times New Roman"/>
                <w:sz w:val="26"/>
              </w:rPr>
              <w:t>- повышение прозрачности деятельности контрольно-надзорного органа.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6"/>
        </w:rPr>
        <w:t>1. Анализ текущего состояния осуществления   контроля в сфере благоустройства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1.1.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sz w:val="26"/>
        </w:rPr>
        <w:t xml:space="preserve"> год (далее –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 и принимаемыми в соответствии с ними законами и иными нормативными правовыми актами Приморского края, в целях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 требований. </w:t>
      </w:r>
    </w:p>
    <w:p>
      <w:pPr>
        <w:pStyle w:val="Normal"/>
        <w:spacing w:before="0" w:after="160"/>
        <w:ind w:left="0" w:righ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6"/>
        </w:rPr>
        <w:t>1.2. Под муниципальным контролем в сфере благоустройства понимается деятельность органов местного самоуправления, уполномоченных на организацию и проведение на территории Лазовского муниципального округа проверок соблюдения юридическими лицами, индивидуальными предпринимателями и физическими лицами обязательных требований, установленных федеральными законами, законами Приморского края, а также</w:t>
      </w:r>
      <w:r>
        <w:rPr>
          <w:rFonts w:ascii="Times New Roman" w:hAnsi="Times New Roman"/>
          <w:sz w:val="26"/>
        </w:rPr>
        <w:t xml:space="preserve"> Правилами благоустройства Лазовского муниципального округа.</w:t>
      </w:r>
    </w:p>
    <w:p>
      <w:pPr>
        <w:pStyle w:val="Normal"/>
        <w:spacing w:before="0" w:after="160"/>
        <w:ind w:left="0" w:righ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6"/>
        </w:rPr>
        <w:t xml:space="preserve">1.3. </w:t>
      </w:r>
      <w:r>
        <w:rPr>
          <w:rFonts w:ascii="Times New Roman" w:hAnsi="Times New Roman"/>
          <w:sz w:val="26"/>
        </w:rPr>
        <w:t xml:space="preserve"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Лазовского муниципального округа.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За текущий период 202</w:t>
      </w:r>
      <w:r>
        <w:rPr>
          <w:rFonts w:ascii="Times New Roman" w:hAnsi="Times New Roman"/>
          <w:color w:val="000000"/>
          <w:sz w:val="26"/>
        </w:rPr>
        <w:t>3</w:t>
      </w:r>
      <w:r>
        <w:rPr>
          <w:rFonts w:ascii="Times New Roman" w:hAnsi="Times New Roman"/>
          <w:sz w:val="26"/>
        </w:rPr>
        <w:t xml:space="preserve"> года в рамках муниципального контроля за соблюдением Правил благоустройства на территории Лазовского муниципального округа, </w:t>
      </w:r>
      <w:r>
        <w:rPr>
          <w:rFonts w:ascii="Times New Roman" w:hAnsi="Times New Roman"/>
          <w:color w:val="000000"/>
          <w:sz w:val="26"/>
        </w:rPr>
        <w:t>а</w:t>
      </w:r>
      <w:r>
        <w:rPr>
          <w:rFonts w:ascii="Times New Roman" w:hAnsi="Times New Roman"/>
          <w:sz w:val="26"/>
        </w:rPr>
        <w:t>дминистрацией проводились выездные обследования без взаимодействия с контролирующими лицами, по результатам обследовани</w:t>
      </w:r>
      <w:r>
        <w:rPr>
          <w:rFonts w:ascii="Times New Roman" w:hAnsi="Times New Roman"/>
          <w:color w:val="000000"/>
          <w:spacing w:val="0"/>
          <w:sz w:val="26"/>
        </w:rPr>
        <w:t>й</w:t>
      </w:r>
      <w:r>
        <w:rPr>
          <w:rFonts w:ascii="Times New Roman" w:hAnsi="Times New Roman"/>
          <w:sz w:val="26"/>
        </w:rPr>
        <w:t xml:space="preserve"> составлено 53 протокола 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Эксперты и представители экспертных организаций к проведению проверок не привлекались.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Предписани</w:t>
      </w:r>
      <w:r>
        <w:rPr>
          <w:rFonts w:ascii="Times New Roman" w:hAnsi="Times New Roman"/>
          <w:color w:val="000000"/>
          <w:spacing w:val="0"/>
          <w:sz w:val="26"/>
        </w:rPr>
        <w:t>я</w:t>
      </w:r>
      <w:r>
        <w:rPr>
          <w:rFonts w:ascii="Times New Roman" w:hAnsi="Times New Roman"/>
          <w:sz w:val="26"/>
        </w:rPr>
        <w:t xml:space="preserve"> по результатам обследований не выдавались.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ind w:left="0" w:right="0" w:firstLine="54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6"/>
        </w:rPr>
        <w:t>2. Характеристика проблем, на решение которых направлена</w:t>
      </w:r>
    </w:p>
    <w:p>
      <w:pPr>
        <w:pStyle w:val="Normal"/>
        <w:widowControl w:val="false"/>
        <w:spacing w:lineRule="auto" w:line="240" w:before="0" w:after="0"/>
        <w:ind w:left="0" w:right="0" w:firstLine="54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6"/>
        </w:rPr>
        <w:t>программа профилактики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ab/>
        <w:t>2.1. К основным проблемам в сфере благоустройства, на решение которых направлена Программа профилактики, относится: приведение объектов благоустройства в соответствии с технико-эксплуатационным и характеристиками улучшение архитектурно-планировочного облика Лазовского муниципального округа, улучшение экологической обстановки и санитарно-гигиенических условий жизни в округе, создание безопасных и комфортных условий для проживания населения.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6"/>
        </w:rPr>
        <w:t>3. Цели и задачи реализации Программы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3.1. Целями Программы являются: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а) предотвращение рисков причинения вреда охраняемым законом ценностям;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б) предупреждение нарушений обязательных требований (снижение числа нарушений обязательных требований) в подконтрольной сфере общественных отношений;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в)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г) снижение издержек, повышение эффективности исполнения функций органа муниципального контроля;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д) повышение эффективности взаимодействия между подконтрольными субъектами и органом муниципального контроля.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3.2. Для достижения цели Программы необходимо решить следующие задачи: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а)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б) выявление причин, факторов и условий, влекущих нарушения требований, в ходе проведения проверок, осмотров, обследований;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в)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 Лазовского муниципального округа.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6"/>
        </w:rPr>
        <w:t>4. Перечень профилактических мероприятий, сроки (периодичность) их проведения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4.1.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4.2. При осуществлении уполномоченным органом контроля в сфере благоустройства могут проводиться следующие виды профилактических мероприятий: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- информирование;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- объявление предостережений;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- консультирование;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- профилактический визит;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4.2.1. </w:t>
      </w:r>
      <w:r>
        <w:rPr>
          <w:rFonts w:ascii="Times New Roman" w:hAnsi="Times New Roman"/>
          <w:b w:val="false"/>
          <w:bCs w:val="false"/>
          <w:i w:val="false"/>
          <w:sz w:val="26"/>
        </w:rPr>
        <w:t xml:space="preserve">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>Контрольный (надзорный) орган обязан размещать и поддерживать в актуальном состоянии на своем официальном сайте в сети "Интернет":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>4) утвержденные проверочные листы в формате, допускающем их использование для самообследования;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 xml:space="preserve">5) руководства по соблюдению обязательных требований, разработанные и утвержденные в соответствии с Федеральным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"https://normativ.kontur.ru/document?moduleid=1&amp;documentid=433110" \l "l0"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законом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 xml:space="preserve"> "Об обязательных требованиях в Российской Федерации";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 xml:space="preserve">6) перечень индикаторов риска нарушения обязательных требований, порядок отнесения объектов контроля к категориям риска; (в ред. Федерального закона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"https://normativ.kontur.ru/document?moduleid=1&amp;documentid=393776" \l "l1439"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11.06.2021 N 170-ФЗ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)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 xml:space="preserve">7) перечень объектов контроля, учитываемых в рамках формирования ежегодного плана контрольных (надзорных) мероприятий, с указанием категории риска; (в ред. Федерального закона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"https://normativ.kontur.ru/document?moduleid=1&amp;documentid=393776" \l "l1439"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11.06.2021 N 170-ФЗ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)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>9) исчерпывающий перечень сведений, которые могут запрашиваться контрольным (надзорным) органом у контролируемого лица;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>10) сведения о способах получения консультаций по вопросам соблюдения обязательных требований;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>11) сведения о применении контрольным (надзорным) органом мер стимулирования добросовестности контролируемых лиц;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>12) сведения о порядке досудебного обжалования решений контрольного (надзорного) органа, действий (бездействия) его должностных лиц;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>13) доклады, содержащие результаты обобщения правоприменительной практики контрольного (надзорного) органа;</w:t>
      </w:r>
    </w:p>
    <w:p>
      <w:pPr>
        <w:pStyle w:val="Normal"/>
        <w:spacing w:before="0" w:after="150"/>
        <w:jc w:val="both"/>
        <w:rPr>
          <w:b w:val="false"/>
          <w:bCs w:val="false"/>
        </w:rPr>
      </w:pPr>
      <w:r>
        <w:rPr>
          <w:b w:val="false"/>
          <w:bCs w:val="false"/>
          <w:i w:val="false"/>
        </w:rPr>
        <w:t>14) доклады о государственном контроле (надзоре), муниципальном контроле;</w:t>
      </w:r>
    </w:p>
    <w:p>
      <w:pPr>
        <w:pStyle w:val="Normal"/>
        <w:spacing w:before="0" w:after="150"/>
        <w:jc w:val="both"/>
        <w:rPr>
          <w:b w:val="false"/>
          <w:bCs w:val="false"/>
        </w:rPr>
      </w:pPr>
      <w:r>
        <w:rPr>
          <w:b w:val="false"/>
          <w:bCs w:val="false"/>
          <w:i w:val="false"/>
        </w:rPr>
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>
      <w:pPr>
        <w:pStyle w:val="Normal"/>
        <w:spacing w:before="0" w:after="150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sz w:val="26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4.2.2. Предостережение о недопустимости нарушения обязательных требований (далее - предостережение) объявляется контролируемому лицу в случае наличия у уполномоченного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Срок проведения - по мере поступления сведений о готовящихся нарушениях обязательных требований.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4.2.</w:t>
      </w:r>
      <w:r>
        <w:rPr>
          <w:rFonts w:ascii="Times New Roman" w:hAnsi="Times New Roman"/>
          <w:color w:val="000000"/>
          <w:sz w:val="26"/>
        </w:rPr>
        <w:t>3</w:t>
      </w:r>
      <w:r>
        <w:rPr>
          <w:rFonts w:ascii="Times New Roman" w:hAnsi="Times New Roman"/>
          <w:sz w:val="26"/>
        </w:rPr>
        <w:t>. Консультирование (разъяснения по вопросам, связанным с организацией и осуществлением</w:t>
      </w:r>
      <w:r>
        <w:rPr>
          <w:rFonts w:ascii="Times New Roman" w:hAnsi="Times New Roman"/>
          <w:b w:val="false"/>
          <w:sz w:val="26"/>
        </w:rPr>
        <w:t xml:space="preserve"> муниципального контроля за сохранностью автомобильных дорог местного значения, расположенных в границах Лазовского муниципального округа</w:t>
      </w:r>
      <w:r>
        <w:rPr>
          <w:rFonts w:ascii="Times New Roman" w:hAnsi="Times New Roman"/>
          <w:sz w:val="26"/>
        </w:rPr>
        <w:t>)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sz w:val="26"/>
        </w:rPr>
        <w:t>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Консультирование в устной и письменной формах осуществляется по следующим вопросам: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Компетенция уполномоченного органа.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Соблюдение обязательных требований.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Проведение контрольных (надзорных) мероприятий.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Применение мер ответственности.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проведения – постоянно.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4.2.4.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их отнесения к соответствующей категории риска.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Срок проведения – ежеквартально.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ind w:left="0" w:right="0" w:firstLine="540"/>
        <w:jc w:val="center"/>
        <w:rPr>
          <w:rFonts w:ascii="Times New Roman" w:hAnsi="Times New Roman"/>
          <w:b/>
          <w:color w:val="000000"/>
        </w:rPr>
      </w:pPr>
      <w:r>
        <w:rPr>
          <w:b/>
          <w:color w:val="000000"/>
          <w:sz w:val="26"/>
        </w:rPr>
        <w:t>5. Ресурсное обеспечение Программы</w:t>
      </w:r>
    </w:p>
    <w:p>
      <w:pPr>
        <w:pStyle w:val="Normal"/>
        <w:ind w:left="0" w:right="0" w:firstLine="54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tabs>
          <w:tab w:val="left" w:pos="709" w:leader="none"/>
        </w:tabs>
        <w:ind w:left="0" w:right="0" w:firstLine="540"/>
        <w:jc w:val="both"/>
        <w:rPr>
          <w:rFonts w:ascii="Times New Roman" w:hAnsi="Times New Roman"/>
          <w:color w:val="000000"/>
        </w:rPr>
      </w:pPr>
      <w:r>
        <w:rPr>
          <w:color w:val="000000"/>
          <w:sz w:val="26"/>
        </w:rPr>
        <w:t xml:space="preserve">   </w:t>
      </w:r>
      <w:r>
        <w:rPr>
          <w:color w:val="000000"/>
          <w:sz w:val="26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left="0" w:right="0" w:firstLine="540"/>
        <w:jc w:val="center"/>
        <w:rPr>
          <w:rFonts w:ascii="Times New Roman" w:hAnsi="Times New Roman"/>
          <w:b/>
          <w:color w:val="000000"/>
        </w:rPr>
      </w:pPr>
      <w:r>
        <w:rPr>
          <w:b/>
          <w:color w:val="000000"/>
          <w:sz w:val="26"/>
        </w:rPr>
        <w:t>6. Механизм реализации программы</w:t>
      </w:r>
    </w:p>
    <w:p>
      <w:pPr>
        <w:pStyle w:val="Normal"/>
        <w:ind w:left="0" w:right="0" w:firstLine="54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color w:val="000000"/>
        </w:rPr>
      </w:pPr>
      <w:r>
        <w:rPr>
          <w:color w:val="000000"/>
          <w:sz w:val="26"/>
        </w:rPr>
        <w:t xml:space="preserve">Для оценки мероприятий по профилактике нарушений требований и в целом Программы, с учетом достижения целей Программы устанавливаются следующие отчетные показатели: </w:t>
      </w:r>
    </w:p>
    <w:p>
      <w:pPr>
        <w:pStyle w:val="Normal"/>
        <w:tabs>
          <w:tab w:val="left" w:pos="709" w:leader="none"/>
        </w:tabs>
        <w:ind w:left="0" w:right="0" w:firstLine="540"/>
        <w:jc w:val="both"/>
        <w:rPr>
          <w:rFonts w:ascii="Times New Roman" w:hAnsi="Times New Roman"/>
          <w:color w:val="000000"/>
        </w:rPr>
      </w:pPr>
      <w:r>
        <w:rPr>
          <w:color w:val="000000"/>
          <w:sz w:val="26"/>
        </w:rPr>
        <w:t xml:space="preserve">   </w:t>
      </w:r>
      <w:r>
        <w:rPr>
          <w:color w:val="000000"/>
          <w:sz w:val="26"/>
        </w:rPr>
        <w:t xml:space="preserve">- количество выявленных нарушений; 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</w:rPr>
      </w:pPr>
      <w:r>
        <w:rPr>
          <w:color w:val="000000"/>
          <w:sz w:val="26"/>
        </w:rPr>
        <w:t xml:space="preserve">   </w:t>
      </w:r>
      <w:r>
        <w:rPr>
          <w:color w:val="000000"/>
          <w:sz w:val="26"/>
        </w:rPr>
        <w:t xml:space="preserve">- количество направленных информационных писем и выданных предостережений о недопустимости нарушения требований; 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</w:rPr>
      </w:pPr>
      <w:r>
        <w:rPr>
          <w:color w:val="000000"/>
          <w:sz w:val="26"/>
        </w:rPr>
        <w:t xml:space="preserve">   </w:t>
      </w:r>
      <w:r>
        <w:rPr>
          <w:color w:val="000000"/>
          <w:sz w:val="26"/>
        </w:rPr>
        <w:t xml:space="preserve">- количество субъектов, которым направлены информационные письма и выданы предостережения о недопустимости нарушения требований; </w:t>
      </w:r>
    </w:p>
    <w:p>
      <w:pPr>
        <w:pStyle w:val="Normal"/>
        <w:tabs>
          <w:tab w:val="left" w:pos="709" w:leader="none"/>
        </w:tabs>
        <w:ind w:left="0" w:right="0" w:firstLine="540"/>
        <w:jc w:val="both"/>
        <w:rPr>
          <w:rFonts w:ascii="Times New Roman" w:hAnsi="Times New Roman"/>
          <w:color w:val="000000"/>
        </w:rPr>
      </w:pPr>
      <w:r>
        <w:rPr>
          <w:color w:val="000000"/>
          <w:sz w:val="26"/>
        </w:rPr>
        <w:t xml:space="preserve">   </w:t>
      </w:r>
      <w:r>
        <w:rPr>
          <w:color w:val="000000"/>
          <w:sz w:val="26"/>
        </w:rPr>
        <w:t xml:space="preserve">- количество проверок, сведения о проведении которых внесены в Федеральную государственную информационную систему «Единый реестр проверок»; 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</w:rPr>
      </w:pPr>
      <w:r>
        <w:rPr>
          <w:color w:val="000000"/>
          <w:sz w:val="26"/>
        </w:rPr>
        <w:t xml:space="preserve">     </w:t>
      </w:r>
      <w:r>
        <w:rPr>
          <w:color w:val="000000"/>
          <w:sz w:val="26"/>
        </w:rPr>
        <w:t>- количество мероприятий по информированию подконтрольных субъектов по вопросам соблюдения требований.</w:t>
      </w:r>
    </w:p>
    <w:p>
      <w:pPr>
        <w:pStyle w:val="Normal"/>
        <w:ind w:left="0" w:right="0"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6"/>
        </w:rPr>
        <w:t xml:space="preserve">7. Показатели результативности и эффективности Программы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К отчетным показателям Программы на 202</w:t>
      </w:r>
      <w:r>
        <w:rPr>
          <w:rFonts w:ascii="Times New Roman" w:hAnsi="Times New Roman"/>
          <w:color w:val="000000"/>
          <w:sz w:val="26"/>
        </w:rPr>
        <w:t xml:space="preserve">4 </w:t>
      </w:r>
      <w:r>
        <w:rPr>
          <w:rFonts w:ascii="Times New Roman" w:hAnsi="Times New Roman"/>
          <w:sz w:val="26"/>
        </w:rPr>
        <w:t>год относятся: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- количество проведенных профилактических мероприятий по информированию подконтрольных лиц по вопросам соблюдения обязательных требований;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-        количество выданных предостережений;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-   количество проведенных профилактических мероприятий связанных с консультированием подконтрольных лиц;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-     количество проведенных профилактических визитов подконтрольных лиц;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-  соотношение устраненных нарушений обязательных требований, выявленных в ходе осуществления муниципального контроля в сфере благоустройства, к общему количеству выявленных нарушений обязательных требований.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Информация о реализации Программы размещается на официальном сайте администрации Лазовского муниципального округа.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jc w:val="center"/>
      <w:outlineLvl w:val="0"/>
    </w:pPr>
    <w:rPr>
      <w:sz w:val="32"/>
    </w:rPr>
  </w:style>
  <w:style w:type="paragraph" w:styleId="2">
    <w:name w:val="Heading 2"/>
    <w:basedOn w:val="Normal"/>
    <w:next w:val="Normal"/>
    <w:uiPriority w:val="9"/>
    <w:qFormat/>
    <w:pPr>
      <w:keepNext w:val="true"/>
      <w:jc w:val="center"/>
      <w:outlineLvl w:val="1"/>
    </w:pPr>
    <w:rPr>
      <w:b/>
      <w:sz w:val="28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Style9">
    <w:name w:val="Указатель"/>
    <w:link w:val="Style16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aption">
    <w:name w:val="Caption"/>
    <w:qFormat/>
    <w:rPr>
      <w:i/>
      <w:sz w:val="24"/>
    </w:rPr>
  </w:style>
  <w:style w:type="character" w:styleId="Style10">
    <w:name w:val="Нормальный"/>
    <w:link w:val="Style17"/>
    <w:qFormat/>
    <w:rPr/>
  </w:style>
  <w:style w:type="character" w:styleId="List">
    <w:name w:val="List"/>
    <w:basedOn w:val="Textbody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sz w:val="32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sPlusNormal">
    <w:name w:val="ConsPlusNormal"/>
    <w:link w:val="ConsPlusNormal1"/>
    <w:qFormat/>
    <w:rPr>
      <w:rFonts w:ascii="Times New Roman" w:hAnsi="Times New Roman"/>
      <w:color w:val="000000"/>
      <w:sz w:val="24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Style11">
    <w:name w:val="Заголовок"/>
    <w:link w:val="Style12"/>
    <w:qFormat/>
    <w:rPr>
      <w:rFonts w:ascii="Liberation Sans" w:hAnsi="Liberation San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ConsPlusTitle">
    <w:name w:val="ConsPlusTitle"/>
    <w:link w:val="ConsPlusTitle1"/>
    <w:qFormat/>
    <w:rPr>
      <w:rFonts w:ascii="Times New Roman" w:hAnsi="Times New Roman"/>
      <w:b/>
      <w:color w:val="000000"/>
      <w:sz w:val="24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NormalWeb">
    <w:name w:val="Normal (Web)"/>
    <w:link w:val="NormalWeb1"/>
    <w:qFormat/>
    <w:rPr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Textbody">
    <w:name w:val="Text body"/>
    <w:qFormat/>
    <w:rPr/>
  </w:style>
  <w:style w:type="character" w:styleId="Heading2">
    <w:name w:val="Heading 2"/>
    <w:qFormat/>
    <w:rPr>
      <w:b/>
      <w:sz w:val="28"/>
    </w:rPr>
  </w:style>
  <w:style w:type="paragraph" w:styleId="Style12">
    <w:name w:val="Заголовок"/>
    <w:basedOn w:val="Normal"/>
    <w:next w:val="Style13"/>
    <w:link w:val="Style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/>
  </w:style>
  <w:style w:type="paragraph" w:styleId="Style15">
    <w:name w:val="Caption"/>
    <w:basedOn w:val="Normal"/>
    <w:qFormat/>
    <w:pPr>
      <w:spacing w:before="120" w:after="120"/>
    </w:pPr>
    <w:rPr>
      <w:i/>
      <w:sz w:val="24"/>
    </w:rPr>
  </w:style>
  <w:style w:type="paragraph" w:styleId="Style16">
    <w:name w:val="Указатель"/>
    <w:basedOn w:val="Normal"/>
    <w:link w:val="Style9"/>
    <w:qFormat/>
    <w:pPr/>
    <w:rPr/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7">
    <w:name w:val="Нормальный"/>
    <w:basedOn w:val="Normal"/>
    <w:link w:val="Style10"/>
    <w:qFormat/>
    <w:pPr/>
    <w:rPr/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8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"/>
    <w:link w:val="ConsPlusNormal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Title1">
    <w:name w:val="ConsPlusTitle"/>
    <w:link w:val="ConsPlusTitle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tyle19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beforeAutospacing="1" w:afterAutospacing="1"/>
    </w:pPr>
    <w:rPr>
      <w:sz w:val="24"/>
    </w:rPr>
  </w:style>
  <w:style w:type="paragraph" w:styleId="Style20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LibreOffice/7.5.5.2$Windows_X86_64 LibreOffice_project/ca8fe7424262805f223b9a2334bc7181abbcbf5e</Application>
  <AppVersion>15.0000</AppVersion>
  <Pages>9</Pages>
  <Words>1824</Words>
  <Characters>14708</Characters>
  <CharactersWithSpaces>16829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2024-08-09T14:45:46Z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