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2748915</wp:posOffset>
            </wp:positionH>
            <wp:positionV relativeFrom="paragraph">
              <wp:posOffset>33655</wp:posOffset>
            </wp:positionV>
            <wp:extent cx="979170" cy="57658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9170" cy="5765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</w:p>
    <w:p w14:paraId="03000000">
      <w:pPr>
        <w:pStyle w:val="Style_1"/>
        <w:ind/>
        <w:jc w:val="center"/>
        <w:rPr>
          <w:rFonts w:ascii="Times New Roman" w:hAnsi="Times New Roman"/>
        </w:rPr>
      </w:pPr>
    </w:p>
    <w:p w14:paraId="04000000">
      <w:pPr>
        <w:pStyle w:val="Style_1"/>
        <w:ind/>
        <w:jc w:val="center"/>
        <w:rPr>
          <w:rFonts w:ascii="Times New Roman" w:hAnsi="Times New Roman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sz w:val="16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16"/>
        </w:rPr>
      </w:pPr>
    </w:p>
    <w:p w14:paraId="07000000">
      <w:pPr>
        <w:pStyle w:val="Style_2"/>
        <w:spacing w:line="360" w:lineRule="auto"/>
        <w:ind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26"/>
        </w:rPr>
        <w:t>АДМИНИСТРАЦИЯ</w:t>
      </w:r>
    </w:p>
    <w:p w14:paraId="08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ЛАЗОВСКОГО </w:t>
      </w:r>
      <w:r>
        <w:rPr>
          <w:rFonts w:ascii="Times New Roman" w:hAnsi="Times New Roman"/>
          <w:b w:val="1"/>
          <w:sz w:val="26"/>
        </w:rPr>
        <w:t>МУНИЦИПАЛЬНОГО</w:t>
      </w:r>
      <w:r>
        <w:rPr>
          <w:rFonts w:ascii="Times New Roman" w:hAnsi="Times New Roman"/>
          <w:b w:val="1"/>
          <w:sz w:val="24"/>
        </w:rPr>
        <w:t xml:space="preserve"> ОКРУГА ПРИМОРСКОГО КРАЯ</w:t>
      </w:r>
    </w:p>
    <w:p w14:paraId="09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6645" cy="12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664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0B000000">
      <w:pPr>
        <w:pStyle w:val="Style_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29.12.2023</w:t>
      </w:r>
      <w:r>
        <w:rPr>
          <w:rFonts w:ascii="Times New Roman" w:hAnsi="Times New Roman"/>
          <w:sz w:val="26"/>
        </w:rPr>
        <w:t xml:space="preserve">г.                                            </w:t>
      </w:r>
      <w:bookmarkStart w:id="1" w:name="_GoBack"/>
      <w:bookmarkEnd w:id="1"/>
      <w:r>
        <w:rPr>
          <w:rFonts w:ascii="Times New Roman" w:hAnsi="Times New Roman"/>
          <w:sz w:val="26"/>
        </w:rPr>
        <w:t xml:space="preserve"> с. Лазо                                                         №</w:t>
      </w:r>
      <w:r>
        <w:rPr>
          <w:rFonts w:ascii="Times New Roman" w:hAnsi="Times New Roman"/>
          <w:sz w:val="26"/>
        </w:rPr>
        <w:t>921</w:t>
      </w: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0F000000">
      <w:pPr>
        <w:pStyle w:val="Style_1"/>
        <w:widowControl w:val="0"/>
        <w:spacing w:after="0" w:before="0"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2024</w:t>
      </w:r>
      <w:r>
        <w:rPr>
          <w:rFonts w:ascii="Times New Roman" w:hAnsi="Times New Roman"/>
          <w:b w:val="1"/>
          <w:color w:val="000000"/>
          <w:sz w:val="26"/>
        </w:rPr>
        <w:t xml:space="preserve"> год </w:t>
      </w:r>
    </w:p>
    <w:p w14:paraId="10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11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12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Лазовского муниципального округа, администрация Лазовского муниципального округа</w:t>
      </w:r>
    </w:p>
    <w:p w14:paraId="13000000">
      <w:pPr>
        <w:pStyle w:val="Style_1"/>
        <w:spacing w:line="276" w:lineRule="auto"/>
        <w:ind/>
        <w:jc w:val="both"/>
        <w:rPr>
          <w:rFonts w:ascii="Times New Roman" w:hAnsi="Times New Roman"/>
          <w:b w:val="1"/>
          <w:sz w:val="26"/>
        </w:rPr>
      </w:pPr>
    </w:p>
    <w:p w14:paraId="14000000">
      <w:pPr>
        <w:pStyle w:val="Style_1"/>
        <w:spacing w:line="276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0"/>
          <w:sz w:val="26"/>
        </w:rPr>
        <w:t>ПОСТАНОВЛЯЕТ:</w:t>
      </w:r>
    </w:p>
    <w:p w14:paraId="15000000">
      <w:pPr>
        <w:pStyle w:val="Style_1"/>
        <w:widowControl w:val="1"/>
        <w:spacing w:after="0" w:before="0" w:line="276" w:lineRule="auto"/>
        <w:ind w:firstLine="53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 </w:t>
      </w:r>
    </w:p>
    <w:p w14:paraId="16000000">
      <w:pPr>
        <w:pStyle w:val="Style_1"/>
        <w:widowControl w:val="1"/>
        <w:spacing w:after="0" w:before="0" w:line="276" w:lineRule="auto"/>
        <w:ind w:firstLine="53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2024</w:t>
      </w:r>
      <w:r>
        <w:rPr>
          <w:rFonts w:ascii="Times New Roman" w:hAnsi="Times New Roman"/>
          <w:b w:val="0"/>
          <w:sz w:val="26"/>
        </w:rPr>
        <w:t xml:space="preserve"> год (далее — Программа).</w:t>
      </w:r>
    </w:p>
    <w:p w14:paraId="17000000">
      <w:pPr>
        <w:pStyle w:val="Style_4"/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sz w:val="26"/>
        </w:rPr>
        <w:t>. Настоящее постановление вступает в силу со дня опубликования и применяется с 01.01.2024 г.</w:t>
      </w:r>
    </w:p>
    <w:p w14:paraId="18000000">
      <w:pPr>
        <w:pStyle w:val="Style_5"/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sz w:val="26"/>
        </w:rPr>
        <w:t>. Начальнику управления делами администрации Лазовского муниципального округа обеспечить размещение настоящего постановления на официальном сайте администрации Лазовского муниципального округа.</w:t>
      </w:r>
    </w:p>
    <w:p w14:paraId="19000000">
      <w:pPr>
        <w:pStyle w:val="Style_5"/>
        <w:spacing w:after="0" w:before="0" w:line="276" w:lineRule="auto"/>
        <w:ind/>
        <w:jc w:val="both"/>
        <w:rPr>
          <w:rFonts w:ascii="Times New Roman" w:hAnsi="Times New Roman"/>
          <w:sz w:val="26"/>
        </w:rPr>
      </w:pPr>
    </w:p>
    <w:p w14:paraId="1A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</w:p>
    <w:p w14:paraId="1B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C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sz w:val="26"/>
        </w:rPr>
        <w:t xml:space="preserve"> Лазовского </w:t>
      </w:r>
    </w:p>
    <w:p w14:paraId="1D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                   Ю. А. Мосальский</w:t>
      </w:r>
    </w:p>
    <w:p w14:paraId="1E000000">
      <w:pPr>
        <w:pStyle w:val="Style_1"/>
        <w:ind/>
        <w:jc w:val="left"/>
        <w:rPr>
          <w:rFonts w:ascii="Times New Roman" w:hAnsi="Times New Roman"/>
        </w:rPr>
      </w:pPr>
    </w:p>
    <w:p w14:paraId="1F000000">
      <w:pPr>
        <w:pStyle w:val="Style_1"/>
        <w:ind/>
        <w:jc w:val="left"/>
        <w:rPr>
          <w:rFonts w:ascii="Times New Roman" w:hAnsi="Times New Roman"/>
        </w:rPr>
      </w:pPr>
    </w:p>
    <w:p w14:paraId="20000000">
      <w:pPr>
        <w:pStyle w:val="Style_1"/>
        <w:spacing w:after="0" w:before="0" w:line="240" w:lineRule="auto"/>
        <w:ind w:firstLine="0" w:left="0" w:right="10"/>
        <w:jc w:val="center"/>
        <w:rPr>
          <w:rFonts w:ascii="Times New Roman" w:hAnsi="Times New Roman"/>
          <w:b w:val="1"/>
          <w:sz w:val="26"/>
        </w:rPr>
      </w:pPr>
    </w:p>
    <w:tbl>
      <w:tblPr>
        <w:tblW w:type="auto" w:w="0"/>
        <w:jc w:val="left"/>
        <w:tblInd w:type="dxa" w:w="509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46"/>
      </w:tblGrid>
      <w:tr>
        <w:tc>
          <w:tcPr>
            <w:tcW w:type="dxa" w:w="424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widowControl w:val="0"/>
              <w:spacing w:after="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</w:t>
            </w:r>
          </w:p>
          <w:p w14:paraId="2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постановлением администрации Лазовского муниципального округа </w:t>
            </w:r>
          </w:p>
          <w:p w14:paraId="2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</w:rPr>
              <w:t>29.12.2023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 №921</w:t>
            </w:r>
          </w:p>
        </w:tc>
      </w:tr>
    </w:tbl>
    <w:p w14:paraId="2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</w:t>
      </w:r>
    </w:p>
    <w:p w14:paraId="2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ПРОФИЛАКТИКИ РИСКОВ ПРИЧИНЕНИЯ ВРЕДА (УЩЕРБА)</w:t>
      </w:r>
    </w:p>
    <w:p w14:paraId="3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ОХРАНЯЕМЫМ ЗАКОНОМ ЦЕННОСТЯМ В СФЕРЕ МУНИЦИПАЛЬНОГО ЖИЛИЩНОГО КОНТРОЛЯ</w:t>
      </w:r>
    </w:p>
    <w:p w14:paraId="3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2024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32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</w:p>
    <w:p w14:paraId="3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E000000">
      <w:pPr>
        <w:pStyle w:val="Style_2"/>
        <w:spacing w:after="0" w:before="0"/>
        <w:ind w:firstLine="0" w:left="0" w:right="14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</w:t>
      </w:r>
    </w:p>
    <w:p w14:paraId="4F000000">
      <w:pPr>
        <w:pStyle w:val="Style_2"/>
        <w:spacing w:after="0" w:before="0"/>
        <w:ind w:firstLine="0" w:left="0" w:right="142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на 2024</w:t>
      </w:r>
      <w:r>
        <w:rPr>
          <w:rFonts w:ascii="Times New Roman" w:hAnsi="Times New Roman"/>
          <w:b w:val="0"/>
          <w:sz w:val="26"/>
        </w:rPr>
        <w:t xml:space="preserve"> год</w:t>
      </w:r>
    </w:p>
    <w:p w14:paraId="50000000">
      <w:pPr>
        <w:pStyle w:val="Style_2"/>
        <w:spacing w:after="0" w:before="0"/>
        <w:ind w:firstLine="0" w:left="0" w:right="142"/>
        <w:jc w:val="center"/>
        <w:rPr>
          <w:rFonts w:ascii="Times New Roman" w:hAnsi="Times New Roman"/>
          <w:b w:val="0"/>
          <w:sz w:val="26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5"/>
        <w:gridCol w:w="6567"/>
      </w:tblGrid>
      <w:tr>
        <w:trPr>
          <w:trHeight w:hRule="atLeast" w:val="982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Наименование Программы 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line="240" w:lineRule="auto"/>
              <w:ind w:firstLine="709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Программа профилактики рисков причинения вреда (ущерба) охраняемым законом ценностям в сфере муниципального жилищного контроля на 2024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</w:tc>
      </w:tr>
      <w:tr>
        <w:trPr>
          <w:trHeight w:hRule="atLeast" w:val="982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Правовые основания разработки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0"/>
              <w:spacing w:after="0" w:before="0" w:line="240" w:lineRule="auto"/>
              <w:ind w:firstLine="34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-Федеральный закон от 06.10.2003 №131-ФЗ «Об общих принципах организации местного самоуправления в Российской Федерации;</w:t>
            </w:r>
          </w:p>
          <w:p w14:paraId="55000000">
            <w:pPr>
              <w:pStyle w:val="Style_1"/>
              <w:widowControl w:val="0"/>
              <w:spacing w:after="0" w:before="0" w:line="240" w:lineRule="auto"/>
              <w:ind w:firstLine="34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Федеральный закон </w:t>
            </w:r>
            <w:r>
              <w:rPr>
                <w:rFonts w:ascii="Times New Roman" w:hAnsi="Times New Roman"/>
                <w:sz w:val="26"/>
              </w:rPr>
              <w:t>от 31.07.2020 № 248 – 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6"/>
              </w:rPr>
              <w:t>;</w:t>
            </w:r>
          </w:p>
          <w:p w14:paraId="56000000">
            <w:pPr>
              <w:pStyle w:val="Style_1"/>
              <w:widowControl w:val="0"/>
              <w:spacing w:after="0" w:before="0" w:line="240" w:lineRule="auto"/>
              <w:ind w:firstLine="34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>
        <w:trPr>
          <w:trHeight w:hRule="atLeast" w:val="659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Разработчик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жилищно-коммунального хозяйства администрации Лазовского муниципального округа</w:t>
            </w:r>
          </w:p>
        </w:tc>
      </w:tr>
      <w:tr>
        <w:trPr>
          <w:trHeight w:hRule="atLeast" w:val="274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Цели П</w:t>
            </w:r>
            <w:r>
              <w:rPr>
                <w:rFonts w:ascii="Times New Roman" w:hAnsi="Times New Roman"/>
                <w:sz w:val="26"/>
              </w:rPr>
              <w:t>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предотвращение рисков причинения вреда охраняемым законом ценностям; </w:t>
            </w:r>
          </w:p>
          <w:p w14:paraId="5B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14:paraId="5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      </w:r>
          </w:p>
          <w:p w14:paraId="5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снижение издержек, повышение эффективности исполнения функций органа муниципального контроля; </w:t>
            </w:r>
          </w:p>
          <w:p w14:paraId="5E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повышение эффективности взаимодействия между подконтрольными субъектами и органом муниципального контроля.</w:t>
            </w:r>
          </w:p>
        </w:tc>
      </w:tr>
      <w:t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Задачи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выявление причин, факторов и условий, влекущих нарушения требований, в ходе проведения проверок, осмотров, обследований; </w:t>
            </w:r>
          </w:p>
          <w:p w14:paraId="6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      </w:r>
          </w:p>
        </w:tc>
      </w:tr>
      <w:t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Сроки и этапы реализации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  <w:widowControl w:val="0"/>
              <w:spacing w:line="240" w:lineRule="auto"/>
              <w:ind w:firstLine="281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</w:tc>
      </w:tr>
      <w:tr>
        <w:trPr>
          <w:trHeight w:hRule="atLeast" w:val="803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6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Источники финансирования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6"/>
              <w:widowControl w:val="0"/>
              <w:ind w:firstLine="432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Финансирование не предусмотрено</w:t>
            </w:r>
          </w:p>
        </w:tc>
      </w:tr>
      <w:tr>
        <w:trPr>
          <w:trHeight w:hRule="atLeast" w:val="346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6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Ожидаемые конечные результаты 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- снижение рисков причинения вреда охраняемым законом ценностям;</w:t>
            </w:r>
          </w:p>
          <w:p w14:paraId="6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- увеличение доли законопослушных подконтрольных субъектов»</w:t>
            </w:r>
          </w:p>
          <w:p w14:paraId="6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</w:t>
            </w:r>
            <w:r>
              <w:rPr>
                <w:rFonts w:ascii="Times New Roman" w:hAnsi="Times New Roman"/>
                <w:sz w:val="26"/>
              </w:rPr>
              <w:t>- внедрение различных способов профилактики»</w:t>
            </w:r>
          </w:p>
          <w:p w14:paraId="6B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14:paraId="6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обеспечение квалифицированной профилактической работы должностных лиц контрольно-надзорного органа;</w:t>
            </w:r>
          </w:p>
          <w:p w14:paraId="6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повышение прозрачности деятельности контрольно-надзорного органа.</w:t>
            </w:r>
          </w:p>
        </w:tc>
      </w:tr>
    </w:tbl>
    <w:p w14:paraId="6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6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7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1.Анализ текущего состояния осуществления муниципального                           жилищного контроля</w:t>
      </w:r>
    </w:p>
    <w:p w14:paraId="71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Настоящая муниципальная программа профилактики рисков причинения вреда (ущерба) охраняемым законом ценностям в сфере муниципального жилищного контроля на 2024</w:t>
      </w:r>
      <w:r>
        <w:rPr>
          <w:rFonts w:ascii="Times New Roman" w:hAnsi="Times New Roman"/>
          <w:sz w:val="26"/>
        </w:rPr>
        <w:t xml:space="preserve"> год (далее –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 и принимаемыми в соответствии с ними законами и иными нормативными правовыми актами Приморского края,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14:paraId="72000000">
      <w:pPr>
        <w:pStyle w:val="Style_1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73000000">
      <w:pPr>
        <w:pStyle w:val="Style_1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Объектом муниципального жилищного контроля являются все многоквартирные дома и жилые дома (помещения) социального найма, расположенные на территории Лазовского муниципального округа, находящиеся в муниципальной собственности.</w:t>
      </w:r>
    </w:p>
    <w:p w14:paraId="74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Муниципальный жилищный контроль направлен на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14:paraId="75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1) требований к:</w:t>
      </w:r>
    </w:p>
    <w:p w14:paraId="76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использованию и сохранности жилищного фонда;</w:t>
      </w:r>
    </w:p>
    <w:p w14:paraId="77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жилым помещениям, их использованию и содержанию;</w:t>
      </w:r>
    </w:p>
    <w:p w14:paraId="78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использованию и содержанию общего имущества собственников помещений в многоквартирных домах;</w:t>
      </w:r>
    </w:p>
    <w:p w14:paraId="79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7A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порядку осуществления перепланировки и (или) переустройства помещений в многоквартирном доме;</w:t>
      </w:r>
    </w:p>
    <w:p w14:paraId="7B000000">
      <w:pPr>
        <w:pStyle w:val="Style_6"/>
        <w:tabs>
          <w:tab w:leader="none" w:pos="567" w:val="left"/>
          <w:tab w:leader="none" w:pos="709" w:val="clear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формированию фондов капитального ремонта;</w:t>
      </w:r>
    </w:p>
    <w:p w14:paraId="7C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D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7E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14:paraId="7F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обеспечению доступности для инвалидов помещений в многоквартирных домах;</w:t>
      </w:r>
    </w:p>
    <w:p w14:paraId="80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предоставлению жилых помещений в наемных домах социального использования;</w:t>
      </w:r>
    </w:p>
    <w:p w14:paraId="81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82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3) правил:</w:t>
      </w:r>
    </w:p>
    <w:p w14:paraId="83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84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содержания общего имущества в многоквартирном доме;</w:t>
      </w:r>
    </w:p>
    <w:p w14:paraId="85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изменения размера платы за содержание жилого помещения;</w:t>
      </w:r>
    </w:p>
    <w:p w14:paraId="86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87000000">
      <w:pPr>
        <w:pStyle w:val="Style_1"/>
        <w:widowControl w:val="0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на территории Лазовского муниципального округа.</w:t>
      </w:r>
    </w:p>
    <w:p w14:paraId="88000000">
      <w:pPr>
        <w:pStyle w:val="Style_1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89000000">
      <w:pPr>
        <w:pStyle w:val="Style_1"/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</w:p>
    <w:p w14:paraId="8A000000">
      <w:pPr>
        <w:pStyle w:val="Style_1"/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 Цели и задачи реализации Программы</w:t>
      </w:r>
    </w:p>
    <w:p w14:paraId="8B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Целями Программы являются: </w:t>
      </w:r>
    </w:p>
    <w:p w14:paraId="8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предотвращение рисков причинения вреда охраняемым законом ценностям; </w:t>
      </w:r>
    </w:p>
    <w:p w14:paraId="8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</w:r>
    </w:p>
    <w:p w14:paraId="8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в)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14:paraId="8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г) снижение издержек, повышение эффективности исполнения функций органа муниципального контроля; </w:t>
      </w:r>
    </w:p>
    <w:p w14:paraId="9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 повышение эффективности взаимодействия между подконтрольными субъектами и органом муниципального контроля.</w:t>
      </w:r>
    </w:p>
    <w:p w14:paraId="91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Для достижения цели Программы необходимо решить следующие задачи:</w:t>
      </w:r>
    </w:p>
    <w:p w14:paraId="9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14:paraId="93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выявление причин, факторов и условий, влекущих нарушения требований, в ходе проведения проверок, осмотров, обследований; </w:t>
      </w:r>
    </w:p>
    <w:p w14:paraId="9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 Лазовского муниципального округа.</w:t>
      </w:r>
    </w:p>
    <w:p w14:paraId="9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96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 Перечень профилактических мероприятий, сроки (периодичность) их проведения</w:t>
      </w:r>
    </w:p>
    <w:p w14:paraId="97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98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99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При осуществлении уполномоченным органом жилищного контроля могут проводиться следующие виды профилактических мероприятий:</w:t>
      </w:r>
    </w:p>
    <w:p w14:paraId="9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информирование;</w:t>
      </w:r>
    </w:p>
    <w:p w14:paraId="9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обобщение правоприменительной практики;</w:t>
      </w:r>
    </w:p>
    <w:p w14:paraId="9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объявление предостережения;</w:t>
      </w:r>
    </w:p>
    <w:p w14:paraId="9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консультирование</w:t>
      </w:r>
      <w:r>
        <w:rPr>
          <w:rFonts w:ascii="Times New Roman" w:hAnsi="Times New Roman"/>
        </w:rPr>
        <w:t>.</w:t>
      </w:r>
    </w:p>
    <w:p w14:paraId="9E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3.2.1.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информационно-телекоммуникационной сети "Интернет" (далее - сеть "Интернет") и средствах массовой информации. Срок проведения - постоянно, по мере внесения изменений в нормативные правовые акты.</w:t>
      </w:r>
    </w:p>
    <w:p w14:paraId="9F000000">
      <w:pPr>
        <w:pStyle w:val="Style_6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3.2.2. </w:t>
      </w:r>
      <w:r>
        <w:rPr>
          <w:rFonts w:ascii="Times New Roman" w:hAnsi="Times New Roman"/>
          <w:sz w:val="26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14:paraId="A0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A1000000">
      <w:pPr>
        <w:pStyle w:val="Style_6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Контрольный орган обеспечивает публичное обсуждение проекта доклада.</w:t>
      </w:r>
    </w:p>
    <w:p w14:paraId="A2000000">
      <w:pPr>
        <w:pStyle w:val="Style_6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14:paraId="A3000000">
      <w:pPr>
        <w:pStyle w:val="Style_1"/>
        <w:tabs>
          <w:tab w:leader="none" w:pos="709" w:val="left"/>
          <w:tab w:leader="none" w:pos="1701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3.2.3. 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Срок проведения - по мере поступления сведений о готовящихся нарушениях обязательных требований.</w:t>
      </w:r>
    </w:p>
    <w:p w14:paraId="A4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3.2.4. 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</w:t>
      </w:r>
    </w:p>
    <w:p w14:paraId="A5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Компетенция уполномоченного органа.</w:t>
      </w:r>
    </w:p>
    <w:p w14:paraId="A6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Соблюдение обязательных требований.</w:t>
      </w:r>
    </w:p>
    <w:p w14:paraId="A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контрольных (надзорных) мероприятий.</w:t>
      </w:r>
    </w:p>
    <w:p w14:paraId="A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Применение мер ответственности.</w:t>
      </w:r>
    </w:p>
    <w:p w14:paraId="A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проведения – постоянно.</w:t>
      </w:r>
    </w:p>
    <w:p w14:paraId="AA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A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AC000000">
      <w:pPr>
        <w:pStyle w:val="Style_6"/>
        <w:ind w:firstLine="54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4. Ресурсное обеспечение Программы</w:t>
      </w:r>
    </w:p>
    <w:p w14:paraId="AD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14:paraId="AE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AF000000">
      <w:pPr>
        <w:pStyle w:val="Style_6"/>
        <w:ind w:firstLine="54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5. Механизм реализации программы</w:t>
      </w:r>
    </w:p>
    <w:p w14:paraId="B0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Для оценки мероприятий по профилактике нарушений требований и в целом Программы, с учетом достижения целей Программы устанавливаются следующие отчетные показатели: </w:t>
      </w:r>
    </w:p>
    <w:p w14:paraId="B1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-  количество выявленных нарушений; </w:t>
      </w:r>
    </w:p>
    <w:p w14:paraId="B2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14:paraId="B3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- количество субъектов, которым направлены информационные письма и выданы предостережения о недопустимости нарушения требований; </w:t>
      </w:r>
    </w:p>
    <w:p w14:paraId="B4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B5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- количество мероприятий по информированию подконтрольных субъектов по вопросам соблюдения требований.</w:t>
      </w:r>
    </w:p>
    <w:p w14:paraId="B6000000">
      <w:pPr>
        <w:pStyle w:val="Style_6"/>
        <w:ind w:firstLine="540" w:left="0"/>
        <w:jc w:val="center"/>
        <w:rPr>
          <w:rFonts w:ascii="Times New Roman" w:hAnsi="Times New Roman"/>
          <w:b w:val="1"/>
          <w:sz w:val="26"/>
        </w:rPr>
      </w:pPr>
    </w:p>
    <w:p w14:paraId="B7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6. Показатели результативности и эффективности Программы </w:t>
      </w:r>
    </w:p>
    <w:p w14:paraId="B8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отчетным показателям Программы на 2024</w:t>
      </w:r>
      <w:r>
        <w:rPr>
          <w:rFonts w:ascii="Times New Roman" w:hAnsi="Times New Roman"/>
          <w:sz w:val="26"/>
        </w:rPr>
        <w:t xml:space="preserve"> год относятся:</w:t>
      </w:r>
    </w:p>
    <w:p w14:paraId="B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количество проведенных профилактических мероприятий по информированию подконтрольных лиц по вопросам соблюдения обязательных требований;</w:t>
      </w:r>
    </w:p>
    <w:p w14:paraId="B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  количество выданных предостережений;</w:t>
      </w:r>
    </w:p>
    <w:p w14:paraId="B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количество проведенных профилактических мероприятий связанных с консультированием подконтрольных лиц;</w:t>
      </w:r>
    </w:p>
    <w:p w14:paraId="B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  количество проведенных профилактических визитов подконтрольных лиц;</w:t>
      </w:r>
    </w:p>
    <w:p w14:paraId="B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соотношение устраненных нарушений обязательных требований, выявленных в ходе осуществления муниципального жилищного контроля, к общему количеству выявленных нарушений обязательных требований.</w:t>
      </w:r>
    </w:p>
    <w:p w14:paraId="B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 о реализации Программы размещается на официальном сайте администрации Лазовского муниципального округа.</w:t>
      </w:r>
    </w:p>
    <w:p w14:paraId="B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6"/>
        </w:rPr>
      </w:pPr>
    </w:p>
    <w:sectPr>
      <w:type w:val="nextPage"/>
      <w:pgSz w:h="16838" w:orient="portrait" w:w="11906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7" w:type="paragraph">
    <w:name w:val="List"/>
    <w:basedOn w:val="Style_8"/>
    <w:link w:val="Style_7_ch"/>
  </w:style>
  <w:style w:styleId="Style_7_ch" w:type="character">
    <w:name w:val="List"/>
    <w:basedOn w:val="Style_8_ch"/>
    <w:link w:val="Style_7"/>
  </w:style>
  <w:style w:styleId="Style_9" w:type="paragraph">
    <w:name w:val="toc 2"/>
    <w:next w:val="Style_1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1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1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1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1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6" w:type="paragraph">
    <w:name w:val="ConsPlusNormal"/>
    <w:link w:val="Style_6_ch"/>
    <w:pPr>
      <w:widowControl w:val="0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6_ch" w:type="character">
    <w:name w:val="ConsPlusNormal"/>
    <w:link w:val="Style_6"/>
    <w:rPr>
      <w:rFonts w:ascii="Times New Roman" w:hAnsi="Times New Roman"/>
      <w:color w:val="000000"/>
      <w:sz w:val="24"/>
    </w:rPr>
  </w:style>
  <w:style w:styleId="Style_5" w:type="paragraph">
    <w:name w:val="Normal (Web)"/>
    <w:basedOn w:val="Style_1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1_ch"/>
    <w:link w:val="Style_5"/>
    <w:rPr>
      <w:sz w:val="24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8" w:type="paragraph">
    <w:name w:val="Body Text"/>
    <w:basedOn w:val="Style_1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1_ch"/>
    <w:link w:val="Style_8"/>
  </w:style>
  <w:style w:styleId="Style_17" w:type="paragraph">
    <w:name w:val="Caption"/>
    <w:basedOn w:val="Style_1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1_ch"/>
    <w:link w:val="Style_17"/>
    <w:rPr>
      <w:i w:val="1"/>
      <w:sz w:val="24"/>
    </w:rPr>
  </w:style>
  <w:style w:styleId="Style_2" w:type="paragraph">
    <w:name w:val="heading 1"/>
    <w:basedOn w:val="Style_1"/>
    <w:next w:val="Style_1"/>
    <w:link w:val="Style_2_ch"/>
    <w:uiPriority w:val="9"/>
    <w:qFormat/>
    <w:pPr>
      <w:keepNext w:val="1"/>
      <w:ind/>
      <w:jc w:val="center"/>
      <w:outlineLvl w:val="0"/>
    </w:pPr>
    <w:rPr>
      <w:sz w:val="32"/>
    </w:rPr>
  </w:style>
  <w:style w:styleId="Style_2_ch" w:type="character">
    <w:name w:val="heading 1"/>
    <w:basedOn w:val="Style_1_ch"/>
    <w:link w:val="Style_2"/>
    <w:rPr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Нормальный"/>
    <w:basedOn w:val="Style_1"/>
    <w:link w:val="Style_4_ch"/>
  </w:style>
  <w:style w:styleId="Style_4_ch" w:type="character">
    <w:name w:val="Нормальный"/>
    <w:basedOn w:val="Style_1_ch"/>
    <w:link w:val="Style_4"/>
  </w:style>
  <w:style w:styleId="Style_24" w:type="paragraph">
    <w:name w:val="Указатель"/>
    <w:basedOn w:val="Style_1"/>
    <w:link w:val="Style_24_ch"/>
  </w:style>
  <w:style w:styleId="Style_24_ch" w:type="character">
    <w:name w:val="Указатель"/>
    <w:basedOn w:val="Style_1_ch"/>
    <w:link w:val="Style_24"/>
  </w:style>
  <w:style w:styleId="Style_25" w:type="paragraph">
    <w:name w:val="Заголовок"/>
    <w:basedOn w:val="Style_1"/>
    <w:next w:val="Style_8"/>
    <w:link w:val="Style_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Заголовок"/>
    <w:basedOn w:val="Style_1_ch"/>
    <w:link w:val="Style_25"/>
    <w:rPr>
      <w:rFonts w:ascii="Liberation Sans" w:hAnsi="Liberation San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heading 2"/>
    <w:basedOn w:val="Style_1"/>
    <w:next w:val="Style_1"/>
    <w:link w:val="Style_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_ch" w:type="character">
    <w:name w:val="heading 2"/>
    <w:basedOn w:val="Style_1_ch"/>
    <w:link w:val="Style_3"/>
    <w:rPr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2024-03-01T01:29:51Z</dcterms:modified>
</cp:coreProperties>
</file>