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2748915</wp:posOffset>
            </wp:positionH>
            <wp:positionV relativeFrom="paragraph">
              <wp:posOffset>33655</wp:posOffset>
            </wp:positionV>
            <wp:extent cx="979170" cy="57658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1"/>
        <w:spacing w:lineRule="auto" w:line="36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6"/>
        </w:rPr>
        <w:t>АДМИНИСТРАЦИЯ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ЛАЗОВСКОГО </w:t>
      </w:r>
      <w:r>
        <w:rPr>
          <w:rFonts w:ascii="Times New Roman" w:hAnsi="Times New Roman"/>
          <w:b/>
          <w:sz w:val="26"/>
        </w:rPr>
        <w:t>МУНИЦИПАЛЬНОГО</w:t>
      </w:r>
      <w:r>
        <w:rPr>
          <w:rFonts w:ascii="Times New Roman" w:hAnsi="Times New Roman"/>
          <w:b/>
          <w:sz w:val="24"/>
        </w:rPr>
        <w:t xml:space="preserve"> ОКРУГА ПРИМОРСКОГО КРАЯ</w:t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>
              <wp:anchor behindDoc="0" distT="10160" distB="9525" distL="9525" distR="9525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6645" cy="1270"/>
                <wp:effectExtent l="9525" t="10160" r="9525" b="9525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52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9.25pt" to="491.45pt,9.3pt" ID="Picture 3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>
      <w:pPr>
        <w:pStyle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29.12.2023</w:t>
      </w:r>
      <w:r>
        <w:rPr>
          <w:rFonts w:ascii="Times New Roman" w:hAnsi="Times New Roman"/>
          <w:sz w:val="26"/>
        </w:rPr>
        <w:t xml:space="preserve">г.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с. Лазо                                                         №921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2024 год 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Лазовского муниципального округа, администрация Лазовского муниципального округа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 w:val="false"/>
          <w:sz w:val="26"/>
        </w:rPr>
        <w:t>ПОСТАНОВЛЯЕТ:</w:t>
      </w:r>
    </w:p>
    <w:p>
      <w:pPr>
        <w:pStyle w:val="Normal"/>
        <w:widowControl/>
        <w:spacing w:lineRule="auto" w:line="276" w:before="0" w:after="0"/>
        <w:ind w:left="0" w:right="0"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sz w:val="26"/>
        </w:rPr>
        <w:t xml:space="preserve"> </w:t>
      </w:r>
    </w:p>
    <w:p>
      <w:pPr>
        <w:pStyle w:val="Normal"/>
        <w:widowControl/>
        <w:spacing w:lineRule="auto" w:line="276" w:before="0" w:after="0"/>
        <w:ind w:left="0" w:right="0"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sz w:val="26"/>
        </w:rPr>
        <w:t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2024 год (далее — Программа).</w:t>
      </w:r>
    </w:p>
    <w:p>
      <w:pPr>
        <w:pStyle w:val="Normal"/>
        <w:widowControl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color w:val="000000"/>
          <w:sz w:val="26"/>
        </w:rPr>
        <w:t>2</w:t>
      </w:r>
      <w:r>
        <w:rPr>
          <w:rFonts w:ascii="Times New Roman" w:hAnsi="Times New Roman"/>
          <w:b w:val="false"/>
          <w:sz w:val="26"/>
        </w:rPr>
        <w:t>. Настоящее постановление вступает в силу со дня опубликования и применяется с 01.01.2024 г.</w:t>
      </w:r>
    </w:p>
    <w:p>
      <w:pPr>
        <w:pStyle w:val="Normal"/>
        <w:widowControl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sz w:val="26"/>
        </w:rPr>
        <w:t>. Начальнику управления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sz w:val="26"/>
        </w:rPr>
        <w:t xml:space="preserve"> Лазовского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округа</w:t>
        <w:tab/>
        <w:tab/>
        <w:t xml:space="preserve">                                                           Ю. А. Мосальский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10" w:hanging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tbl>
      <w:tblPr>
        <w:tblW w:w="4246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</w:tblGrid>
      <w:tr>
        <w:trPr/>
        <w:tc>
          <w:tcPr>
            <w:tcW w:w="4246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постановлением администрации Лазовского муниципального округа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6"/>
              </w:rPr>
              <w:t>29.12.2023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 №921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(Внесены измен. от 09.08.2024 №556)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ПРОФИЛАКТИКИ РИСКОВ ПРИЧИНЕНИЯ ВРЕДА (УЩЕРБА)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ОХРАНЯЕМЫМ ЗАКОНОМ ЦЕННОСТЯМ В СФЕРЕ МУНИЦИПАЛЬНОГО ЖИЛИЩНОГО КОНТРОЛЯ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2024 ГОД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ПАСПОРТ</w:t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b w:val="false"/>
          <w:sz w:val="26"/>
        </w:rPr>
      </w:pPr>
      <w:r>
        <w:rPr>
          <w:rFonts w:ascii="Times New Roman" w:hAnsi="Times New Roman"/>
          <w:b w:val="false"/>
          <w:sz w:val="26"/>
        </w:rPr>
        <w:t>программы профилактики рисков причинения вреда (ущерба) охраняемым законом ценностям в сфере муниципального жилищного контроля на 2024 год</w:t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b w:val="false"/>
          <w:sz w:val="26"/>
        </w:rPr>
      </w:pPr>
      <w:r>
        <w:rPr>
          <w:rFonts w:ascii="Times New Roman" w:hAnsi="Times New Roman"/>
          <w:b w:val="false"/>
          <w:sz w:val="26"/>
        </w:rPr>
      </w:r>
    </w:p>
    <w:tbl>
      <w:tblPr>
        <w:tblW w:w="9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67"/>
      </w:tblGrid>
      <w:tr>
        <w:trPr>
          <w:trHeight w:val="982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Программа профилактики рисков причинения вреда (ущерба) охраняемым законом ценностям в сфере муниципального жилищного контроля на 2024 год</w:t>
            </w:r>
          </w:p>
        </w:tc>
      </w:tr>
      <w:tr>
        <w:trPr>
          <w:trHeight w:val="982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Правовые основания разработки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-Федеральный закон от 06.10.2003 №131-ФЗ «Об общих принципах организации местного самоуправления в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Федеральный закон от 31.07.2020 № 248 – ФЗ «О государственном контроле (надзоре) и муниципальном контроле в Российской Федерации»;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-Постановление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val="659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Разработчик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жилищно-коммунального хозяйства администрации Лазовского муниципального округа</w:t>
            </w:r>
          </w:p>
        </w:tc>
      </w:tr>
      <w:tr>
        <w:trPr>
          <w:trHeight w:val="274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предотвращение рисков причинения вреда охраняемым законом ценностям;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повышение эффективности взаимодействия между подконтрольными субъектами и органом муниципального контроля.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Задачи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Сроки и этапы реализации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firstLine="28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</w:t>
            </w:r>
          </w:p>
        </w:tc>
      </w:tr>
      <w:tr>
        <w:trPr>
          <w:trHeight w:val="803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Источники финансирования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firstLine="43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Финансирование не предусмотрено</w:t>
            </w:r>
          </w:p>
        </w:tc>
      </w:tr>
      <w:tr>
        <w:trPr>
          <w:trHeight w:val="346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 xml:space="preserve">Ожидаемые конечные результаты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 снижение рисков причинения вреда охраняемым законом ценностям;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- увеличение доли законопослушных подконтрольных субъектов»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- внедрение различных способов профилактики»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повышение прозрачности деятельности контрольно-надзорного органа.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1.Анализ текущего состояния осуществления муниципального                           жилищного контроля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Настоящая муниципальная программа профилактики рисков причинения вреда (ущерба) охраняемым законом ценностям в сфере муниципального жилищного контроля на 2024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Объектом муниципального жилищного контроля являются все многоквартирные дома и жилые дома (помещения) социального найма, расположенные на территории Лазовского муниципального округа, находящиеся в муниципальной собственности.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Муниципальный жилищный контроль направлен на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1) требований к: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использованию и сохранности жилищного фонда;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жилым помещениям, их использованию и содержанию;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использованию и содержанию общего имущества собственников помещений в многоквартирных домах;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порядку осуществления перепланировки и (или) переустройства помещений в многоквартирном доме;</w:t>
      </w:r>
    </w:p>
    <w:p>
      <w:pPr>
        <w:pStyle w:val="Normal"/>
        <w:tabs>
          <w:tab w:val="clear" w:pos="709"/>
          <w:tab w:val="left" w:pos="567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формированию фондов капитального ремонта;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обеспечению доступности для инвалидов помещений в многоквартирных домах;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предоставлению жилых помещений в наемных домах социального использования;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3) правил: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содержания общего имущества в многоквартирном доме;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изменения размера платы за содержание жилого помещения;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 территории Лазовского муниципального округа.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Цели и задачи реализации Программы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Целями Программы являются: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предотвращение рисков причинения вреда охраняемым законом ценностям;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снижение издержек, повышение эффективности исполнения функций органа муниципального контроля;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повышение эффективности взаимодействия между подконтрольными субъектами и органом муниципального контроля.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Для достижения цели Программы необходимо решить следующие задачи: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Лазовского муниципального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Перечень профилактических мероприятий, сроки (периодичность) их проведения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При осуществлении уполномоченным органом жилищного контроля могут проводиться следующие виды профилактических мероприятий: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информирование;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обобщение правоприменительной практики;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объявление предостережения;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консультирование</w:t>
      </w:r>
      <w:r>
        <w:rPr>
          <w:rFonts w:ascii="Times New Roman" w:hAnsi="Times New Roman"/>
        </w:rPr>
        <w:t>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3.2.1.</w:t>
      </w:r>
      <w:r>
        <w:rPr>
          <w:rFonts w:ascii="Times New Roman" w:hAnsi="Times New Roman"/>
          <w:b w:val="false"/>
          <w:bCs w:val="false"/>
          <w:i w:val="false"/>
          <w:sz w:val="26"/>
          <w:szCs w:val="26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 xml:space="preserve">    </w:t>
      </w:r>
      <w:r>
        <w:rPr>
          <w:b w:val="false"/>
          <w:bCs w:val="false"/>
          <w:i w:val="false"/>
          <w:sz w:val="26"/>
          <w:szCs w:val="26"/>
        </w:rPr>
        <w:t>Контрольный (надзорный) орган обязан размещать и поддерживать в актуальном состоянии на своем официальном сайте в сети "Интернет":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4) утвержденные проверочные листы в формате, допускающем их использование для самообследования;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r>
        <w:fldChar w:fldCharType="begin"/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instrText xml:space="preserve"> HYPERLINK "https://normativ.kontur.ru/document?moduleid=1&amp;documentid=433110" \l "l0"</w:instrText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fldChar w:fldCharType="separate"/>
      </w:r>
      <w:r>
        <w:rPr>
          <w:rStyle w:val="-"/>
          <w:b w:val="false"/>
          <w:bCs w:val="false"/>
          <w:i w:val="false"/>
          <w:sz w:val="26"/>
          <w:szCs w:val="26"/>
          <w:u w:val="single"/>
        </w:rPr>
        <w:t>законом</w:t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fldChar w:fldCharType="end"/>
      </w:r>
      <w:r>
        <w:rPr>
          <w:b w:val="false"/>
          <w:bCs w:val="false"/>
          <w:i w:val="false"/>
          <w:sz w:val="26"/>
          <w:szCs w:val="26"/>
        </w:rPr>
        <w:t xml:space="preserve"> "Об обязательных требованиях в Российской Федерации";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 xml:space="preserve">6) перечень индикаторов риска нарушения обязательных требований, порядок отнесения объектов контроля к категориям риска; (в ред. Федерального закона </w:t>
      </w:r>
      <w:r>
        <w:fldChar w:fldCharType="begin"/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instrText xml:space="preserve"> HYPERLINK "https://normativ.kontur.ru/document?moduleid=1&amp;documentid=393776" \l "l1439"</w:instrText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fldChar w:fldCharType="separate"/>
      </w:r>
      <w:r>
        <w:rPr>
          <w:rStyle w:val="-"/>
          <w:b w:val="false"/>
          <w:bCs w:val="false"/>
          <w:i w:val="false"/>
          <w:sz w:val="26"/>
          <w:szCs w:val="26"/>
          <w:u w:val="single"/>
        </w:rPr>
        <w:t>от 11.06.2021 N 170-ФЗ</w:t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fldChar w:fldCharType="end"/>
      </w:r>
      <w:r>
        <w:rPr>
          <w:b w:val="false"/>
          <w:bCs w:val="false"/>
          <w:i w:val="false"/>
          <w:sz w:val="26"/>
          <w:szCs w:val="26"/>
        </w:rPr>
        <w:t>)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 (в ред. Федерального закона </w:t>
      </w:r>
      <w:r>
        <w:fldChar w:fldCharType="begin"/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instrText xml:space="preserve"> HYPERLINK "https://normativ.kontur.ru/document?moduleid=1&amp;documentid=393776" \l "l1439"</w:instrText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fldChar w:fldCharType="separate"/>
      </w:r>
      <w:r>
        <w:rPr>
          <w:rStyle w:val="-"/>
          <w:b w:val="false"/>
          <w:bCs w:val="false"/>
          <w:i w:val="false"/>
          <w:sz w:val="26"/>
          <w:szCs w:val="26"/>
          <w:u w:val="single"/>
        </w:rPr>
        <w:t>от 11.06.2021 N 170-ФЗ</w:t>
      </w:r>
      <w:r>
        <w:rPr>
          <w:rStyle w:val="-"/>
          <w:sz w:val="26"/>
          <w:i w:val="false"/>
          <w:u w:val="single"/>
          <w:b w:val="false"/>
          <w:szCs w:val="26"/>
          <w:bCs w:val="false"/>
        </w:rPr>
        <w:fldChar w:fldCharType="end"/>
      </w:r>
      <w:r>
        <w:rPr>
          <w:b w:val="false"/>
          <w:bCs w:val="false"/>
          <w:i w:val="false"/>
          <w:sz w:val="26"/>
          <w:szCs w:val="26"/>
        </w:rPr>
        <w:t>)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10) сведения о способах получения консультаций по вопросам соблюдения обязательных требований;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13) доклады, содержащие результаты обобщения правоприменительной практики контрольного (надзорного) органа;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14) доклады о государственном контроле (надзоре), муниципальном контроле;</w:t>
      </w:r>
    </w:p>
    <w:p>
      <w:pPr>
        <w:pStyle w:val="Normal"/>
        <w:spacing w:before="0" w:after="150"/>
        <w:jc w:val="both"/>
        <w:rPr>
          <w:szCs w:val="28"/>
        </w:rPr>
      </w:pPr>
      <w:r>
        <w:rPr>
          <w:b w:val="false"/>
          <w:bCs w:val="false"/>
          <w:i w:val="false"/>
          <w:sz w:val="26"/>
          <w:szCs w:val="26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bCs w:val="false"/>
          <w:i w:val="false"/>
          <w:sz w:val="26"/>
          <w:szCs w:val="26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6"/>
        </w:rPr>
      </w:pPr>
      <w:r>
        <w:rPr/>
        <w:t xml:space="preserve">3.2.2. </w:t>
      </w:r>
      <w:r>
        <w:rPr>
          <w:sz w:val="26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Контрольный орган обеспечивает публичное обсуждение проекта доклада.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>
      <w:pPr>
        <w:pStyle w:val="Normal"/>
        <w:tabs>
          <w:tab w:val="left" w:pos="709" w:leader="none"/>
          <w:tab w:val="left" w:pos="1701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3.2.3.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3.2.4.Консультирование (разъяснения по вопросам, связанным с организацией и осуществлением</w:t>
      </w:r>
      <w:r>
        <w:rPr>
          <w:rFonts w:ascii="Times New Roman" w:hAnsi="Times New Roman"/>
          <w:b w:val="false"/>
          <w:sz w:val="26"/>
        </w:rPr>
        <w:t xml:space="preserve"> муниципального контроля за сохранностью автомобильных дорог местного значения, расположенных в границах Лазовского муниципального округа</w:t>
      </w:r>
      <w:r>
        <w:rPr>
          <w:rFonts w:ascii="Times New Roman" w:hAnsi="Times New Roman"/>
          <w:sz w:val="26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sz w:val="26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Консультирование в устной и письменной формах осуществляется по следующим вопросам: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Компетенция уполномоченного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Соблюдение обязательных требований.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Проведение контрольных (надзорных) мероприятий.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Применение мер ответственности.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проведения – постоянно.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b/>
          <w:color w:val="000000"/>
          <w:sz w:val="26"/>
        </w:rPr>
        <w:t>4. Ресурсное обеспечение Программы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b/>
          <w:color w:val="000000"/>
          <w:sz w:val="26"/>
        </w:rPr>
        <w:t>5. Механизм реализации программы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-  количество выявленных нарушений; 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- количество мероприятий по информированию подконтрольных субъектов по вопросам соблюдения требований.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6. Показатели результативности и эффективности Программы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отчетным показателям Программы на 2024 год относятся: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   количество выданных предостережений;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количество проведенных профилактических мероприятий связанных с консультированием подконтрольных лиц;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   количество проведенных профилактических визитов подконтрольных лиц;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соотношение устраненных нарушений обязательных требований, выявленных в ходе осуществления муниципального жилищного контроля, к общему количеству выявленных нарушений обязательных требований.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 реализации Программы размещается на официальном сайте администрации Лазовского муниципального округа.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color w:val="000000"/>
          <w:sz w:val="2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List">
    <w:name w:val="List"/>
    <w:basedOn w:val="Textbody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sPlusNormal">
    <w:name w:val="ConsPlusNormal"/>
    <w:link w:val="ConsPlusNormal1"/>
    <w:qFormat/>
    <w:rPr>
      <w:rFonts w:ascii="Times New Roman" w:hAnsi="Times New Roman"/>
      <w:color w:val="000000"/>
      <w:sz w:val="24"/>
    </w:rPr>
  </w:style>
  <w:style w:type="character" w:styleId="NormalWeb">
    <w:name w:val="Normal (Web)"/>
    <w:link w:val="NormalWeb1"/>
    <w:qFormat/>
    <w:rPr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Textbody">
    <w:name w:val="Text body"/>
    <w:qFormat/>
    <w:rPr/>
  </w:style>
  <w:style w:type="character" w:styleId="Caption">
    <w:name w:val="Caption"/>
    <w:qFormat/>
    <w:rPr>
      <w:i/>
      <w:sz w:val="24"/>
    </w:rPr>
  </w:style>
  <w:style w:type="character" w:styleId="Heading1">
    <w:name w:val="Heading 1"/>
    <w:qFormat/>
    <w:rPr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9">
    <w:name w:val="Нормальный"/>
    <w:link w:val="Style18"/>
    <w:qFormat/>
    <w:rPr/>
  </w:style>
  <w:style w:type="character" w:styleId="Style10">
    <w:name w:val="Указатель"/>
    <w:link w:val="Style16"/>
    <w:qFormat/>
    <w:rPr/>
  </w:style>
  <w:style w:type="character" w:styleId="Style11">
    <w:name w:val="Заголовок"/>
    <w:link w:val="Style12"/>
    <w:qFormat/>
    <w:rPr>
      <w:rFonts w:ascii="Liberation Sans" w:hAnsi="Liberation San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b/>
      <w:sz w:val="28"/>
    </w:rPr>
  </w:style>
  <w:style w:type="paragraph" w:styleId="Style12">
    <w:name w:val="Заголовок"/>
    <w:basedOn w:val="Normal"/>
    <w:next w:val="Style13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pacing w:before="120" w:after="120"/>
    </w:pPr>
    <w:rPr>
      <w:i/>
      <w:sz w:val="24"/>
    </w:rPr>
  </w:style>
  <w:style w:type="paragraph" w:styleId="Style16">
    <w:name w:val="Указатель"/>
    <w:basedOn w:val="Normal"/>
    <w:link w:val="Style10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Нормальный"/>
    <w:basedOn w:val="Normal"/>
    <w:link w:val="Style9"/>
    <w:qFormat/>
    <w:pPr/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LibreOffice/7.5.5.2$Windows_X86_64 LibreOffice_project/ca8fe7424262805f223b9a2334bc7181abbcbf5e</Application>
  <AppVersion>15.0000</AppVersion>
  <Pages>9</Pages>
  <Words>1910</Words>
  <Characters>15442</Characters>
  <CharactersWithSpaces>17624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2024-08-09T14:46:00Z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