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3261" w:leader="none"/>
          <w:tab w:val="center" w:pos="4395" w:leader="none"/>
        </w:tabs>
        <w:spacing w:lineRule="exact" w:line="240" w:before="60" w:after="3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ind w:firstLine="708"/>
        <w:jc w:val="center"/>
        <w:rPr>
          <w:sz w:val="32"/>
          <w:szCs w:val="32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05.75pt;height:75.75pt;mso-wrap-distance-right:0pt" filled="f" o:ole="">
            <v:imagedata r:id="rId3" o:title=""/>
          </v:shape>
          <o:OLEObject Type="Embed" ProgID="" ShapeID="ole_rId2" DrawAspect="Content" ObjectID="_474173326" r:id="rId2"/>
        </w:object>
      </w:r>
      <w:r>
        <w:rPr/>
        <w:t xml:space="preserve">      </w:t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rFonts w:ascii="Times New Roman" w:hAnsi="Times New Roman"/>
        </w:rPr>
      </w:pPr>
      <w:r>
        <w:rPr/>
        <w:t xml:space="preserve">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Batang"/>
          <w:b/>
          <w:sz w:val="32"/>
          <w:szCs w:val="36"/>
        </w:rPr>
        <w:t>Д У М 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Batang"/>
          <w:b/>
          <w:sz w:val="28"/>
          <w:szCs w:val="28"/>
        </w:rPr>
        <w:t xml:space="preserve">Лазовского муниципального </w:t>
      </w:r>
      <w:r>
        <w:rPr>
          <w:rFonts w:eastAsia="Batang" w:cs="Times New Roman"/>
          <w:b/>
          <w:color w:val="auto"/>
          <w:kern w:val="0"/>
          <w:sz w:val="28"/>
          <w:szCs w:val="28"/>
          <w:lang w:val="ru-RU" w:eastAsia="ru-RU" w:bidi="ar-SA"/>
        </w:rPr>
        <w:t>округа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Batang"/>
          <w:b/>
          <w:sz w:val="28"/>
          <w:szCs w:val="28"/>
        </w:rPr>
        <w:t>Приморского края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/>
          <w:b/>
          <w:szCs w:val="32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Batang"/>
          <w:b/>
          <w:sz w:val="32"/>
          <w:szCs w:val="36"/>
        </w:rPr>
        <w:t>Р Е Ш Е Н И Е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/>
          <w:b/>
          <w:color w:val="auto"/>
          <w:kern w:val="0"/>
          <w:sz w:val="24"/>
          <w:szCs w:val="26"/>
          <w:lang w:val="ru-RU" w:eastAsia="ru-RU" w:bidi="ar-SA"/>
        </w:rPr>
        <w:t>29.03.2023</w:t>
      </w:r>
      <w:r>
        <w:rPr>
          <w:b/>
          <w:sz w:val="22"/>
        </w:rPr>
        <w:t xml:space="preserve"> г.                                                                                                                         </w:t>
      </w:r>
      <w:r>
        <w:rPr>
          <w:b/>
        </w:rPr>
        <w:t xml:space="preserve">№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382</w:t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</w:rPr>
      </w:pPr>
      <w:r>
        <w:rPr>
          <w:b/>
        </w:rPr>
        <w:t xml:space="preserve">Об утверждении отчета о работе </w:t>
      </w:r>
    </w:p>
    <w:p>
      <w:pPr>
        <w:pStyle w:val="Normal"/>
        <w:rPr>
          <w:rFonts w:ascii="Times New Roman" w:hAnsi="Times New Roman"/>
        </w:rPr>
      </w:pPr>
      <w:r>
        <w:rPr>
          <w:b/>
        </w:rPr>
        <w:t xml:space="preserve">Контрольно-счётной палаты Лазовского </w:t>
      </w:r>
    </w:p>
    <w:p>
      <w:pPr>
        <w:pStyle w:val="Normal"/>
        <w:rPr>
          <w:rFonts w:ascii="Times New Roman" w:hAnsi="Times New Roman"/>
        </w:rPr>
      </w:pPr>
      <w:r>
        <w:rPr>
          <w:b/>
        </w:rPr>
        <w:t xml:space="preserve">муниципального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округа</w:t>
      </w:r>
      <w:r>
        <w:rPr>
          <w:b/>
        </w:rPr>
        <w:t xml:space="preserve"> за 2022 год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firstLine="360"/>
        <w:jc w:val="both"/>
        <w:rPr>
          <w:rFonts w:ascii="Times New Roman" w:hAnsi="Times New Roman"/>
        </w:rPr>
      </w:pPr>
      <w:r>
        <w:rPr/>
        <w:t xml:space="preserve">Заслушав и обсудив отчёт председателя Контрольно-счётной палаты Лазовского муниципального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округа Недомовной Л.С.</w:t>
      </w:r>
      <w:r>
        <w:rPr/>
        <w:t xml:space="preserve"> о работе за 2022 год, руководствуясь статьями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Уставом</w:t>
      </w:r>
      <w:r>
        <w:rPr/>
        <w:t xml:space="preserve"> Лазовского муниципального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округа</w:t>
      </w:r>
      <w:r>
        <w:rPr/>
        <w:t xml:space="preserve">, Дума Лазовского муниципального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округа</w:t>
      </w:r>
    </w:p>
    <w:p>
      <w:pPr>
        <w:pStyle w:val="Normal"/>
        <w:ind w:left="0" w:right="0" w:firstLine="698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hanging="11"/>
        <w:jc w:val="both"/>
        <w:rPr>
          <w:rFonts w:ascii="Times New Roman" w:hAnsi="Times New Roman"/>
        </w:rPr>
      </w:pPr>
      <w:r>
        <w:rPr>
          <w:b/>
        </w:rPr>
        <w:t>Р Е Ш И Л А:</w:t>
      </w:r>
    </w:p>
    <w:p>
      <w:pPr>
        <w:pStyle w:val="Normal"/>
        <w:ind w:left="0" w:right="0" w:hanging="11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  <w:t xml:space="preserve">      </w:t>
      </w:r>
      <w:r>
        <w:rPr/>
        <w:t xml:space="preserve">1. Отчет о работе Контрольно-счетной палаты Лазовского муниципального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округа</w:t>
      </w:r>
      <w:r>
        <w:rPr/>
        <w:t xml:space="preserve"> за 2022 год  - утвердить (прилагается).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 xml:space="preserve">       </w:t>
      </w:r>
      <w:r>
        <w:rPr/>
        <w:t>2. Направить настоящее решение для опубликования в районной газете «Синегорье».</w:t>
      </w:r>
    </w:p>
    <w:p>
      <w:pPr>
        <w:pStyle w:val="Normal"/>
        <w:ind w:left="0" w:right="0" w:firstLine="414"/>
        <w:jc w:val="both"/>
        <w:rPr>
          <w:rFonts w:ascii="Times New Roman" w:hAnsi="Times New Roman"/>
        </w:rPr>
      </w:pPr>
      <w:r>
        <w:rPr/>
        <w:t>3. Настоящее решение вступает в силу со дня его принятия.</w:t>
      </w:r>
    </w:p>
    <w:p>
      <w:pPr>
        <w:pStyle w:val="Normal"/>
        <w:ind w:left="0" w:right="0" w:firstLine="414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firstLine="414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firstLine="414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firstLine="414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0" w:right="0" w:hanging="11"/>
        <w:jc w:val="both"/>
        <w:rPr>
          <w:rFonts w:ascii="Times New Roman" w:hAnsi="Times New Roman"/>
        </w:rPr>
      </w:pPr>
      <w:r>
        <w:rPr/>
        <w:t xml:space="preserve">Председатель Думы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округа</w:t>
      </w:r>
      <w:r>
        <w:rPr/>
        <w:t xml:space="preserve">    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В.И. Яламов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/>
        <w:t>Приложение к решению Думы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>Лазовского муниципального округа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от 29.03.2023 г.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382</w:t>
      </w:r>
    </w:p>
    <w:p>
      <w:pPr>
        <w:pStyle w:val="Normal"/>
        <w:tabs>
          <w:tab w:val="clear" w:pos="708"/>
          <w:tab w:val="left" w:pos="3261" w:leader="none"/>
          <w:tab w:val="center" w:pos="4395" w:leader="none"/>
        </w:tabs>
        <w:spacing w:lineRule="exact" w:line="240" w:before="60" w:after="30"/>
        <w:jc w:val="center"/>
        <w:rPr>
          <w:rFonts w:ascii="Times New Roman" w:hAnsi="Times New Roman"/>
        </w:rPr>
      </w:pPr>
      <w:r>
        <w:rPr/>
      </w:r>
    </w:p>
    <w:p>
      <w:pPr>
        <w:pStyle w:val="NormalWeb"/>
        <w:tabs>
          <w:tab w:val="clear" w:pos="708"/>
          <w:tab w:val="left" w:pos="3261" w:leader="none"/>
          <w:tab w:val="center" w:pos="4395" w:leader="none"/>
        </w:tabs>
        <w:spacing w:lineRule="exact" w:line="240" w:before="60" w:after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tabs>
          <w:tab w:val="clear" w:pos="708"/>
          <w:tab w:val="left" w:pos="3261" w:leader="none"/>
          <w:tab w:val="center" w:pos="4395" w:leader="none"/>
        </w:tabs>
        <w:spacing w:lineRule="exact" w:line="240" w:before="60" w:after="3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</w:rPr>
        <w:t>тчет</w:t>
      </w:r>
    </w:p>
    <w:p>
      <w:pPr>
        <w:pStyle w:val="NormalWeb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работе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Контрольно-счётной палаты </w:t>
      </w:r>
    </w:p>
    <w:p>
      <w:pPr>
        <w:pStyle w:val="NormalWeb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Лазовского муниципального округа за 2022 год</w:t>
      </w:r>
    </w:p>
    <w:p>
      <w:pPr>
        <w:pStyle w:val="NormalWeb"/>
        <w:spacing w:lineRule="atLeast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о деятельности Контрольно-счётной палаты Лазовского муниципального округа (далее-Отчет) подготовлен в соответствии с требованиями статьи 19 Федерального закона от 07 февраля 2011года № 6 - 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№ 6-ФЗ)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статьи 18 Положения о Контрольно-счётной палате Лазовского муниципального округа, утвержденного Решением Думы Лазовского муниципального округа от 29.09.2021 № 220-МПА «Об утверждении Положения о Контрольно-счётном органе  Лазовского муниципального округа- Контрольно-счётной палате»</w:t>
      </w:r>
      <w:r>
        <w:rPr>
          <w:rFonts w:cs="Times New Roman" w:ascii="Times New Roman" w:hAnsi="Times New Roman"/>
          <w:sz w:val="24"/>
          <w:szCs w:val="24"/>
        </w:rPr>
        <w:t xml:space="preserve"> (далее- Положение о Контрольно-счётной палате) и содержит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общую характеристику результатов проведенных в 2022 году контрольных и экспертно-аналитических мероприятий, представлены  результаты деятельности по выполнению установленных федеральным законодательством задач и полномочий Контрольно-счётной палаты </w:t>
      </w:r>
      <w:r>
        <w:rPr>
          <w:rFonts w:cs="Times New Roman" w:ascii="Times New Roman" w:hAnsi="Times New Roman"/>
          <w:sz w:val="24"/>
          <w:szCs w:val="24"/>
        </w:rPr>
        <w:t>Лазовского муниципального округа</w:t>
      </w:r>
      <w:r>
        <w:rPr>
          <w:rFonts w:cs="Times New Roman" w:ascii="Times New Roman" w:hAnsi="Times New Roman"/>
          <w:spacing w:val="4"/>
          <w:sz w:val="24"/>
          <w:szCs w:val="24"/>
        </w:rPr>
        <w:t>.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Web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1.</w:t>
      </w:r>
      <w:r>
        <w:rPr>
          <w:rStyle w:val="Strong"/>
          <w:rFonts w:eastAsia="Calibri" w:cs="Times New Roman" w:ascii="Times New Roman" w:hAnsi="Times New Roman"/>
          <w:sz w:val="24"/>
          <w:szCs w:val="24"/>
          <w:lang w:eastAsia="en-US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Статус Контрольно-счётной палаты Лазовского муниципального округа </w:t>
      </w:r>
      <w:r>
        <w:rPr>
          <w:color w:val="000000"/>
          <w:sz w:val="24"/>
          <w:szCs w:val="24"/>
        </w:rPr>
        <w:t xml:space="preserve">(далее по тексту - Контрольно-счётная палата) </w:t>
      </w:r>
      <w:r>
        <w:rPr>
          <w:sz w:val="24"/>
          <w:szCs w:val="24"/>
        </w:rPr>
        <w:t xml:space="preserve">  как постоянно действующего органа внешнего муниципального финансового контроля, образованного Думой Лазовского муниципального округа и подотчётного ему, закреплён в Положении о Контрольно-счётной палате. В 2021 году Положение о Контрольно-счётной палате утверждено в новой редакции  с целью приведения отдельных положений в соответствие с Федеральным законом № 6-ФЗ.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Сфера полномочий Контрольно-счётная палаты установлена статьёй 8 Положения о Контрольно-счётной палате  и распространяется на  органы местного самоуправления и муниципальные органы, муниципальные учреждения, муниципальные унитарные предприятия, а также иных организаций, если они используют имущество, находящегося в муниципальной собственности.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В представленном Отчете проведён анализ работы по организационной, информационной и методической направлениям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Основная задача Контрольно-счётной палаты заключается в представлении Думе </w:t>
      </w:r>
      <w:r>
        <w:rPr>
          <w:sz w:val="24"/>
          <w:szCs w:val="24"/>
        </w:rPr>
        <w:t>Лазовского муниципального округа</w:t>
      </w:r>
      <w:r>
        <w:rPr>
          <w:spacing w:val="4"/>
          <w:sz w:val="24"/>
          <w:szCs w:val="24"/>
        </w:rPr>
        <w:t xml:space="preserve">, Главе </w:t>
      </w:r>
      <w:r>
        <w:rPr>
          <w:sz w:val="24"/>
          <w:szCs w:val="24"/>
        </w:rPr>
        <w:t>Лазовского муниципального округа</w:t>
      </w:r>
      <w:r>
        <w:rPr>
          <w:spacing w:val="4"/>
          <w:sz w:val="24"/>
          <w:szCs w:val="24"/>
        </w:rPr>
        <w:t xml:space="preserve">, гражданам округа независимой информации   </w:t>
      </w:r>
      <w:r>
        <w:rPr>
          <w:rFonts w:eastAsia="Calibri" w:eastAsiaTheme="minorHAnsi"/>
          <w:sz w:val="24"/>
          <w:szCs w:val="24"/>
          <w:lang w:eastAsia="en-US"/>
        </w:rPr>
        <w:t xml:space="preserve">о формировании и об исполнении бюджета </w:t>
      </w:r>
      <w:r>
        <w:rPr>
          <w:sz w:val="24"/>
          <w:szCs w:val="24"/>
        </w:rPr>
        <w:t xml:space="preserve">Лазовского муниципального округа </w:t>
      </w:r>
      <w:r>
        <w:rPr>
          <w:rFonts w:eastAsia="Calibri" w:eastAsiaTheme="minorHAnsi"/>
          <w:sz w:val="24"/>
          <w:szCs w:val="24"/>
          <w:lang w:eastAsia="en-US"/>
        </w:rPr>
        <w:t>(далее-бюджет муниципального округа), о качестве проектов правовых муниципальных актов, требующих выделения бюджетных средств, законности, эффективности и результативности органов местного самоуправления (муниципальных органов) 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5"/>
          <w:i w:val="false"/>
          <w:sz w:val="24"/>
          <w:szCs w:val="24"/>
        </w:rPr>
        <w:t xml:space="preserve"> 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Основные итоги деятельности по осуществлению полномочий 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внешнего муниципального финансового контроля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2.1.  Основные итоги деятельности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Контрольная,  экспертно-аналитическая, организационная, информационная  и иная деятельность</w:t>
      </w:r>
      <w:r>
        <w:rPr>
          <w:rFonts w:eastAsia="Calibri" w:eastAsiaTheme="minorHAnsi"/>
          <w:sz w:val="24"/>
          <w:szCs w:val="24"/>
          <w:lang w:eastAsia="en-US"/>
        </w:rPr>
        <w:t xml:space="preserve"> Контрольно-счётной палаты в 2022 году осуществлялась в соответствии с </w:t>
      </w:r>
      <w:r>
        <w:rPr>
          <w:sz w:val="24"/>
          <w:szCs w:val="24"/>
        </w:rPr>
        <w:t>Планом работы Контрольно-счётной палаты</w:t>
      </w:r>
      <w:r>
        <w:rPr>
          <w:rStyle w:val="Style14"/>
          <w:sz w:val="24"/>
          <w:szCs w:val="24"/>
        </w:rPr>
        <w:footnoteReference w:id="2"/>
      </w:r>
      <w:r>
        <w:rPr>
          <w:sz w:val="24"/>
          <w:szCs w:val="24"/>
        </w:rPr>
        <w:t xml:space="preserve"> (с учетом внесенных изменений), который разрабатывается и утверждается ею самостоятельно и формируется исходя из необходимости обеспечения всестороннего системного внешнего муниципального контроля за исполнением бюджета муниципального округа по всем видам и направлениям деятельности с учетом утвержденной штатной численности Контрольно-счётной палаты.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В Плане работы Контрольно-счётной палаты на 2022 год предусматривалось проведение: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14 контрольных  мероприятий ( из них: 6 - внешних проверок бюджетной отчётности главных администраторов бюджетных средств, 6 - проверки </w:t>
      </w:r>
      <w:r>
        <w:rPr>
          <w:rFonts w:cs="Times New Roman" w:ascii="Times New Roman" w:hAnsi="Times New Roman"/>
          <w:sz w:val="24"/>
          <w:szCs w:val="24"/>
        </w:rPr>
        <w:t xml:space="preserve">законности, целевой направленности (эффективности и экономности) использования бюджетных средств, 2- аудит в сфере закупок, которые проводились в рамках возложенных полномочий установленных частью 1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статьи 98 Федерального закона № 44-ФЗ и </w:t>
      </w:r>
      <w:r>
        <w:rPr>
          <w:rFonts w:ascii="Times New Roman" w:hAnsi="Times New Roman"/>
          <w:sz w:val="24"/>
          <w:szCs w:val="24"/>
        </w:rPr>
        <w:t>с Федеральным законом от 18.07.2011 № 223-Ф3 «О закупках товаров, работ, услуг отдельными видами юридических лиц»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;</w:t>
      </w:r>
    </w:p>
    <w:p>
      <w:pPr>
        <w:pStyle w:val="NormalWeb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4  экспертно-аналитических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мероприятия  (за исключением экспертиз муниципальных правовых актов)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Все контрольные и экспертно-аналитические мероприятия были запланированы и исполнены со сроком  завершения в отчётном году.</w:t>
      </w:r>
    </w:p>
    <w:p>
      <w:pPr>
        <w:pStyle w:val="Default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pacing w:val="4"/>
          <w:sz w:val="24"/>
          <w:szCs w:val="24"/>
        </w:rPr>
        <w:t>Общие итоги работы Контрольно-счётной палаты за 2022 год характеризуются следующими показателями:</w:t>
      </w:r>
    </w:p>
    <w:p>
      <w:pPr>
        <w:pStyle w:val="Default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158750" distB="158750" distL="272415" distR="272415" simplePos="0" locked="0" layoutInCell="0" allowOverlap="1" relativeHeight="2">
                <wp:simplePos x="0" y="0"/>
                <wp:positionH relativeFrom="column">
                  <wp:posOffset>510540</wp:posOffset>
                </wp:positionH>
                <wp:positionV relativeFrom="paragraph">
                  <wp:posOffset>132715</wp:posOffset>
                </wp:positionV>
                <wp:extent cx="4651375" cy="593725"/>
                <wp:effectExtent l="0" t="0" r="0" b="0"/>
                <wp:wrapSquare wrapText="bothSides"/>
                <wp:docPr id="1" name="Скругленный 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840" cy="59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Проведено контрольных и экспертно-аналитических мероприятий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49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1318895</wp:posOffset>
                </wp:positionH>
                <wp:positionV relativeFrom="paragraph">
                  <wp:posOffset>157480</wp:posOffset>
                </wp:positionV>
                <wp:extent cx="1889125" cy="294005"/>
                <wp:effectExtent l="0" t="0" r="0" b="0"/>
                <wp:wrapNone/>
                <wp:docPr id="3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8560" cy="293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4" stroked="t" o:allowincell="f" style="position:absolute;margin-left:103.85pt;margin-top:12.4pt;width:148.65pt;height:23.05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3206115</wp:posOffset>
                </wp:positionH>
                <wp:positionV relativeFrom="paragraph">
                  <wp:posOffset>157480</wp:posOffset>
                </wp:positionV>
                <wp:extent cx="3810" cy="294005"/>
                <wp:effectExtent l="0" t="0" r="0" b="0"/>
                <wp:wrapNone/>
                <wp:docPr id="4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3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o:allowincell="f" style="position:absolute;margin-left:252.45pt;margin-top:12.4pt;width:0.2pt;height:23.0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3206115</wp:posOffset>
                </wp:positionH>
                <wp:positionV relativeFrom="paragraph">
                  <wp:posOffset>157480</wp:posOffset>
                </wp:positionV>
                <wp:extent cx="1558925" cy="294005"/>
                <wp:effectExtent l="0" t="0" r="0" b="0"/>
                <wp:wrapNone/>
                <wp:docPr id="5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293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6" stroked="t" o:allowincell="f" style="position:absolute;margin-left:252.45pt;margin-top:12.4pt;width:122.65pt;height:23.0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Default"/>
        <w:tabs>
          <w:tab w:val="clear" w:pos="708"/>
          <w:tab w:val="left" w:pos="7575" w:leader="none"/>
        </w:tabs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7125" w:leader="none"/>
        </w:tabs>
        <w:ind w:firstLine="255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31750" distB="31750" distL="31750" distR="31750" simplePos="0" locked="0" layoutInCell="0" allowOverlap="1" relativeHeight="16">
                <wp:simplePos x="0" y="0"/>
                <wp:positionH relativeFrom="column">
                  <wp:posOffset>2141220</wp:posOffset>
                </wp:positionH>
                <wp:positionV relativeFrom="paragraph">
                  <wp:posOffset>74930</wp:posOffset>
                </wp:positionV>
                <wp:extent cx="1800860" cy="1523365"/>
                <wp:effectExtent l="0" t="0" r="0" b="0"/>
                <wp:wrapNone/>
                <wp:docPr id="6" name="Скругленный 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152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Экспертно-аналитические мероприятия  (за исключением экспертиз муниципальных правовых актов)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8">
                <wp:simplePos x="0" y="0"/>
                <wp:positionH relativeFrom="column">
                  <wp:posOffset>504190</wp:posOffset>
                </wp:positionH>
                <wp:positionV relativeFrom="paragraph">
                  <wp:posOffset>74930</wp:posOffset>
                </wp:positionV>
                <wp:extent cx="1513205" cy="1523365"/>
                <wp:effectExtent l="0" t="0" r="0" b="0"/>
                <wp:wrapNone/>
                <wp:docPr id="8" name="Скругленный 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152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Контрольные мероприятия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158750" distB="158750" distL="272415" distR="272415" simplePos="0" locked="0" layoutInCell="0" allowOverlap="1" relativeHeight="22">
                <wp:simplePos x="0" y="0"/>
                <wp:positionH relativeFrom="column">
                  <wp:posOffset>4203700</wp:posOffset>
                </wp:positionH>
                <wp:positionV relativeFrom="paragraph">
                  <wp:posOffset>93980</wp:posOffset>
                </wp:positionV>
                <wp:extent cx="1661795" cy="1501775"/>
                <wp:effectExtent l="0" t="0" r="0" b="0"/>
                <wp:wrapSquare wrapText="bothSides"/>
                <wp:docPr id="10" name="Скругленный 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040" cy="150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Экспертно-аналитические мероприятия  по экспертизе проектов муниципальных правовых актов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4845" w:leader="none"/>
        </w:tabs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300" w:leader="none"/>
        </w:tabs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360" w:leader="none"/>
        </w:tabs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3197860</wp:posOffset>
                </wp:positionH>
                <wp:positionV relativeFrom="paragraph">
                  <wp:posOffset>55880</wp:posOffset>
                </wp:positionV>
                <wp:extent cx="3810" cy="314325"/>
                <wp:effectExtent l="0" t="0" r="0" b="0"/>
                <wp:wrapNone/>
                <wp:docPr id="12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13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o:allowincell="f" style="position:absolute;margin-left:251.8pt;margin-top:4.4pt;width:0.2pt;height:24.6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1320165</wp:posOffset>
                </wp:positionH>
                <wp:positionV relativeFrom="paragraph">
                  <wp:posOffset>59690</wp:posOffset>
                </wp:positionV>
                <wp:extent cx="3810" cy="203200"/>
                <wp:effectExtent l="0" t="0" r="0" b="0"/>
                <wp:wrapNone/>
                <wp:docPr id="13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026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o:allowincell="f" style="position:absolute;margin-left:103.95pt;margin-top:4.7pt;width:0.2pt;height:15.9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31750" distB="31750" distL="31750" distR="31750" simplePos="0" locked="0" layoutInCell="0" allowOverlap="1" relativeHeight="10">
                <wp:simplePos x="0" y="0"/>
                <wp:positionH relativeFrom="column">
                  <wp:posOffset>435610</wp:posOffset>
                </wp:positionH>
                <wp:positionV relativeFrom="paragraph">
                  <wp:posOffset>81280</wp:posOffset>
                </wp:positionV>
                <wp:extent cx="1641475" cy="784225"/>
                <wp:effectExtent l="0" t="0" r="0" b="0"/>
                <wp:wrapNone/>
                <wp:docPr id="14" name="Скругленный 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80" cy="78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Проверено объектов контроля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17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Style29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31750" distB="31750" distL="31750" distR="31750" simplePos="0" locked="0" layoutInCell="0" allowOverlap="1" relativeHeight="12">
                <wp:simplePos x="0" y="0"/>
                <wp:positionH relativeFrom="column">
                  <wp:posOffset>2395220</wp:posOffset>
                </wp:positionH>
                <wp:positionV relativeFrom="paragraph">
                  <wp:posOffset>31115</wp:posOffset>
                </wp:positionV>
                <wp:extent cx="2533650" cy="1108710"/>
                <wp:effectExtent l="0" t="0" r="0" b="0"/>
                <wp:wrapNone/>
                <wp:docPr id="16" name="Скругленный 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960" cy="1108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Проверено объектов контроля 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(за исключением экспертиз проектов муниципальных правовых актов)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1237615</wp:posOffset>
                </wp:positionH>
                <wp:positionV relativeFrom="paragraph">
                  <wp:posOffset>160655</wp:posOffset>
                </wp:positionV>
                <wp:extent cx="3810" cy="523875"/>
                <wp:effectExtent l="0" t="0" r="0" b="0"/>
                <wp:wrapNone/>
                <wp:docPr id="18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230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o:allowincell="f" style="position:absolute;margin-left:97.45pt;margin-top:12.65pt;width:0.2pt;height:41.1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31750" distB="31750" distL="31750" distR="31750" simplePos="0" locked="0" layoutInCell="0" allowOverlap="1" relativeHeight="5">
                <wp:simplePos x="0" y="0"/>
                <wp:positionH relativeFrom="column">
                  <wp:posOffset>174625</wp:posOffset>
                </wp:positionH>
                <wp:positionV relativeFrom="paragraph">
                  <wp:posOffset>156210</wp:posOffset>
                </wp:positionV>
                <wp:extent cx="1851025" cy="917575"/>
                <wp:effectExtent l="0" t="0" r="0" b="0"/>
                <wp:wrapNone/>
                <wp:docPr id="19" name="Скругленный 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00" cy="91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Органы местного самоуправления –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11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Муниципальные учреждения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- 6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3614420</wp:posOffset>
                </wp:positionH>
                <wp:positionV relativeFrom="paragraph">
                  <wp:posOffset>88265</wp:posOffset>
                </wp:positionV>
                <wp:extent cx="3810" cy="231775"/>
                <wp:effectExtent l="0" t="0" r="0" b="0"/>
                <wp:wrapNone/>
                <wp:docPr id="21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2311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o:allowincell="f" style="position:absolute;margin-left:284.6pt;margin-top:6.95pt;width:0.2pt;height:18.15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31750" distB="31750" distL="31750" distR="31750" simplePos="0" locked="0" layoutInCell="0" allowOverlap="1" relativeHeight="20">
                <wp:simplePos x="0" y="0"/>
                <wp:positionH relativeFrom="column">
                  <wp:posOffset>2173605</wp:posOffset>
                </wp:positionH>
                <wp:positionV relativeFrom="paragraph">
                  <wp:posOffset>140335</wp:posOffset>
                </wp:positionV>
                <wp:extent cx="3746500" cy="758190"/>
                <wp:effectExtent l="0" t="0" r="0" b="0"/>
                <wp:wrapNone/>
                <wp:docPr id="22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00" cy="75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Органы местного самоуправления –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Муниципальные учреждения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- 3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Муниципальные предприятия -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0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5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Рис. 1. Контрольная и экспертно-аналитическая деятельность  в 2022 году</w:t>
      </w:r>
    </w:p>
    <w:p>
      <w:pPr>
        <w:pStyle w:val="Normal"/>
        <w:ind w:firstLine="709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Web"/>
        <w:spacing w:lineRule="atLeast" w:line="360"/>
        <w:ind w:firstLine="709"/>
        <w:jc w:val="center"/>
        <w:rPr>
          <w:rStyle w:val="Style15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Web"/>
        <w:spacing w:lineRule="atLeast" w:line="360"/>
        <w:ind w:firstLine="709"/>
        <w:jc w:val="center"/>
        <w:rPr/>
      </w:pPr>
      <w:r>
        <w:rPr>
          <w:rStyle w:val="Style15"/>
          <w:rFonts w:cs="Times New Roman" w:ascii="Times New Roman" w:hAnsi="Times New Roman"/>
          <w:b/>
          <w:i w:val="false"/>
          <w:sz w:val="24"/>
          <w:szCs w:val="24"/>
        </w:rPr>
        <w:t xml:space="preserve">2.2. Контрольная  </w:t>
      </w:r>
      <w:r>
        <w:rPr>
          <w:rFonts w:cs="Times New Roman" w:ascii="Times New Roman" w:hAnsi="Times New Roman"/>
          <w:b/>
          <w:bCs/>
          <w:sz w:val="24"/>
          <w:szCs w:val="24"/>
        </w:rPr>
        <w:t>деятельность.</w:t>
      </w:r>
    </w:p>
    <w:p>
      <w:pPr>
        <w:pStyle w:val="Normal"/>
        <w:spacing w:lineRule="atLeast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Перечень проводимых в 2022 году  контрольных мероприятий и  объектов муниципального (финансового) контроля, объем проверенных бюджетных средств  представлен в Таблице 1. </w:t>
      </w:r>
    </w:p>
    <w:p>
      <w:pPr>
        <w:pStyle w:val="Normal"/>
        <w:spacing w:lineRule="atLeast" w:line="36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25"/>
        <w:gridCol w:w="3548"/>
        <w:gridCol w:w="3544"/>
        <w:gridCol w:w="1842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1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Объекты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Объем проверенных средств, тыс. руб.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90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1" w:right="142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Проверка  достоверности, полноты и соответствия нормативным требованиям бюджетной отчетности главных администраторов средств бюджета Лазовского муниципального округа за 2021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1. 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2.ФЭУ Администрации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 Контрольно-счётная палата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4. МКУ  «Центр культуры, спорта, туризма и молодёжной политики»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5. Управление образования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6. Дума Лазовского муниципального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553438,9</w:t>
            </w:r>
          </w:p>
        </w:tc>
      </w:tr>
      <w:tr>
        <w:trPr>
          <w:trHeight w:val="2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Проверка   законности и результативности (эффективность и экономность)использования средств бюджета за 2020-2021 год муниципального бюджетного учреждения дополнительного образования детей «Детская школа исскуств»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1" w:right="142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exact" w:line="240" w:before="0" w:after="0"/>
              <w:ind w:left="502" w:right="283" w:hanging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МКУ  «Центр культуры, спорта, туризма и молодёжной политики»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2.МБУДОД</w:t>
            </w:r>
            <w:r>
              <w:rPr>
                <w:sz w:val="24"/>
                <w:szCs w:val="24"/>
              </w:rPr>
              <w:t>«Детская школа исскуств»</w:t>
            </w:r>
          </w:p>
          <w:p>
            <w:pPr>
              <w:pStyle w:val="NormalWeb"/>
              <w:widowControl w:val="false"/>
              <w:spacing w:lineRule="exact" w:line="240" w:before="0" w:after="0"/>
              <w:ind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32281,1</w:t>
            </w:r>
          </w:p>
        </w:tc>
      </w:tr>
      <w:tr>
        <w:trPr>
          <w:trHeight w:val="13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Российской Федерации</w:t>
            </w:r>
          </w:p>
          <w:p>
            <w:pPr>
              <w:pStyle w:val="Normal"/>
              <w:widowControl w:val="false"/>
              <w:spacing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нормативных актов о контрактной системе в сфере закупок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1" w:right="14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отношении 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exact" w:line="240" w:before="0" w:after="0"/>
              <w:ind w:left="502" w:right="283" w:hanging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МКУ  «Центр культуры, спорта, туризма и молодёжной политики»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2.МБУДОД</w:t>
            </w:r>
            <w:r>
              <w:rPr>
                <w:sz w:val="24"/>
                <w:szCs w:val="24"/>
              </w:rPr>
              <w:t>«Детская школа исскуств»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4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8605,0</w:t>
            </w:r>
          </w:p>
        </w:tc>
      </w:tr>
      <w:tr>
        <w:trPr>
          <w:trHeight w:val="134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 законности и результативности (эффективность и экономность)использования средств бюджета за 2021 год  Муниципального автономного  учреждения «Редакция газеты «Синегорье»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1" w:right="142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1.МАУ</w:t>
            </w:r>
            <w:r>
              <w:rPr>
                <w:sz w:val="24"/>
                <w:szCs w:val="24"/>
              </w:rPr>
              <w:t>«Редакция газеты «Синегорье»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502" w:right="284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3890,5</w:t>
            </w:r>
          </w:p>
        </w:tc>
      </w:tr>
      <w:tr>
        <w:trPr>
          <w:trHeight w:val="44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1" w:righ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актов о   закупочной деятельности в соответствии с Федеральным законом от 18.07.2011 № 223-Ф3 «О закупках товаров, работ, услуг отдельными видами юридических лиц» в отношении Муниципального автономного  учреждения «Редакция газеты «Синегорье»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1.МАУ</w:t>
            </w:r>
            <w:r>
              <w:rPr>
                <w:sz w:val="24"/>
                <w:szCs w:val="24"/>
              </w:rPr>
              <w:t>«Редакция газеты «Синегорье»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 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4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817,6</w:t>
            </w:r>
          </w:p>
        </w:tc>
      </w:tr>
      <w:tr>
        <w:trPr>
          <w:trHeight w:val="75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Проверка законности, целевой направленности и эффективности расходования субсидий, выделенных из бюджета Лазовского муниципального округа в 2021 году на реализацию мероприятий, направленных на исполнение МП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Postbody"/>
                <w:sz w:val="24"/>
                <w:szCs w:val="24"/>
              </w:rPr>
              <w:t xml:space="preserve">«Развитие и поддержка МСП Лазовского муниципального округа»  </w:t>
            </w:r>
            <w:r>
              <w:rPr>
                <w:rStyle w:val="Postbody"/>
                <w:bCs/>
                <w:sz w:val="24"/>
                <w:szCs w:val="24"/>
              </w:rPr>
              <w:t>на 2021-2025 годы</w:t>
            </w:r>
          </w:p>
          <w:p>
            <w:pPr>
              <w:pStyle w:val="Default"/>
              <w:widowControl w:val="false"/>
              <w:spacing w:lineRule="exact" w:line="240"/>
              <w:ind w:left="141" w:right="14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2.ФЭУ Администрации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680,0</w:t>
            </w:r>
          </w:p>
        </w:tc>
      </w:tr>
      <w:tr>
        <w:trPr>
          <w:trHeight w:val="75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Проверка законности, целевой направленности и эффективности расходования субсидий, выделенных из бюджета Лазовского муниципального округа в 2021 году на реализацию мероприятий, направленных на исполнение МП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Postbody"/>
                <w:sz w:val="24"/>
                <w:szCs w:val="24"/>
              </w:rPr>
              <w:t xml:space="preserve">«Развитие градостроительной деятельности Лазовского муниципального округа»  </w:t>
            </w:r>
            <w:r>
              <w:rPr>
                <w:rStyle w:val="Postbody"/>
                <w:bCs/>
                <w:sz w:val="24"/>
                <w:szCs w:val="24"/>
              </w:rPr>
              <w:t>на 2021-2025 годы</w:t>
            </w:r>
          </w:p>
          <w:p>
            <w:pPr>
              <w:pStyle w:val="Default"/>
              <w:widowControl w:val="false"/>
              <w:spacing w:lineRule="exact" w:line="240"/>
              <w:ind w:left="141" w:right="14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 Отдел имущественных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1046,9</w:t>
            </w:r>
          </w:p>
        </w:tc>
      </w:tr>
      <w:tr>
        <w:trPr>
          <w:trHeight w:val="361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Проверка законности, целевой направленности и эффективности расходования субсидий, выделенных из бюджета Лазовского муниципального округа в 2021 году на реализацию мероприятий, направленных на исполнение МП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Postbody"/>
                <w:sz w:val="24"/>
                <w:szCs w:val="24"/>
              </w:rPr>
              <w:t xml:space="preserve">«Обеспечение жильем молодых семей Лазовского муниципального округа»  </w:t>
            </w:r>
            <w:r>
              <w:rPr>
                <w:rStyle w:val="Postbody"/>
                <w:bCs/>
                <w:sz w:val="24"/>
                <w:szCs w:val="24"/>
              </w:rPr>
              <w:t>на 2021-2025 годы</w:t>
            </w:r>
          </w:p>
          <w:p>
            <w:pPr>
              <w:pStyle w:val="Default"/>
              <w:widowControl w:val="false"/>
              <w:spacing w:lineRule="exact" w:line="240"/>
              <w:ind w:left="141" w:right="14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Администрация Лазовского муниципального округа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exact" w:line="240" w:before="0" w:after="0"/>
              <w:ind w:left="502" w:right="283" w:hanging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МКУ  «Центр культуры, спорта, туризма и молодёжной политики»</w:t>
            </w:r>
          </w:p>
          <w:p>
            <w:pPr>
              <w:pStyle w:val="Normal"/>
              <w:widowControl w:val="false"/>
              <w:suppressAutoHyphens w:val="true"/>
              <w:spacing w:lineRule="exact" w:line="24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1953,0</w:t>
            </w:r>
          </w:p>
        </w:tc>
      </w:tr>
      <w:tr>
        <w:trPr>
          <w:trHeight w:val="132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при назначении, начислении и выплате муниципальной пенсии  муниципальных служащих в  администрации Лазовского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Администрация Лазовского муниципального округа</w:t>
            </w:r>
          </w:p>
          <w:p>
            <w:pPr>
              <w:pStyle w:val="NormalWeb"/>
              <w:widowControl w:val="false"/>
              <w:spacing w:lineRule="exact" w:line="240" w:before="0" w:after="0"/>
              <w:ind w:left="142" w:right="283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319,6</w:t>
            </w:r>
          </w:p>
        </w:tc>
      </w:tr>
      <w:tr>
        <w:trPr>
          <w:trHeight w:val="395" w:hRule="atLeast"/>
        </w:trPr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42" w:right="14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603032,6</w:t>
            </w:r>
          </w:p>
        </w:tc>
      </w:tr>
      <w:tr>
        <w:trPr>
          <w:trHeight w:val="395" w:hRule="atLeast"/>
        </w:trPr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из них:  бюджетных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596680,8</w:t>
            </w:r>
          </w:p>
        </w:tc>
      </w:tr>
      <w:tr>
        <w:trPr>
          <w:trHeight w:val="395" w:hRule="atLeast"/>
        </w:trPr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иных источников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6351,8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Контрольно-счётной палатой в 2022 году проведено 14 контрольных мероприятий, в том числе 6 мероприятий по осуществлению внешней проверки годовой бюджетной отчетности за 2021 год; 6 мероприятий  по проверке законности (эффективности и экономности) использования бюджетных средств,   2  мероприятия  по аудиту в сфере закупок, которые проводились во исполнение полномочий установленных частью 1 </w:t>
      </w:r>
      <w:r>
        <w:rPr>
          <w:rFonts w:eastAsia="Calibri"/>
          <w:sz w:val="24"/>
          <w:szCs w:val="24"/>
          <w:lang w:eastAsia="en-US"/>
        </w:rPr>
        <w:t xml:space="preserve">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4"/>
          <w:szCs w:val="24"/>
        </w:rPr>
        <w:t>Федеральным законом от 18.07.2011 № 223-Ф3 «О закупках товаров, работ, услуг отдельными видами юридических лиц»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</w:t>
      </w:r>
      <w:r>
        <w:rPr>
          <w:rFonts w:eastAsia="Calibri" w:eastAsiaTheme="minorHAnsi"/>
          <w:sz w:val="24"/>
          <w:szCs w:val="24"/>
          <w:lang w:eastAsia="en-US"/>
        </w:rPr>
        <w:t xml:space="preserve">Предложений и запросов  от Думы и Главы </w:t>
      </w:r>
      <w:r>
        <w:rPr>
          <w:rStyle w:val="Postbody"/>
          <w:sz w:val="24"/>
          <w:szCs w:val="24"/>
        </w:rPr>
        <w:t xml:space="preserve">Лазовского муниципального округа»  </w:t>
      </w:r>
      <w:r>
        <w:rPr>
          <w:rFonts w:eastAsia="Calibri" w:eastAsiaTheme="minorHAnsi"/>
          <w:sz w:val="24"/>
          <w:szCs w:val="24"/>
          <w:lang w:eastAsia="en-US"/>
        </w:rPr>
        <w:t>в проведении контрольных (экспертно-аналитических) мероприятий по заданным направлениям законности, эффективности и результативности использования средств бюджета муниципального округа в адрес Контрольно-счётной палаты в 2022 году не поступало.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По запросу Лазовского районного суда была проведена проверка соблюдения законодательства при назначении, начислении и выплате муниципальной пенсии муниципальным служащим.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В ходе проведения контрольных мероприятий особое внимание уделялось оценке результативности бюджетных расходов, достижению запланированных целевых показателей, эффективности расходования бюджетных средств и анализу нарушений норм законодательства, подготовке конкретных рекомендаций и предложений, осуществлялся постоянный контроль за принятием проверенными органами и организациями (далее по тексту - объекты контроля) мер по устранению выявленных нарушений.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Контрольными мероприятиями было охвачено 17 ед.  объектов контроля.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Наибольший охват внешним финансовым контролем имеют органы местного самоуправления </w:t>
      </w:r>
      <w:r>
        <w:rPr>
          <w:rFonts w:eastAsia="Calibri" w:eastAsiaTheme="minorHAnsi"/>
          <w:sz w:val="24"/>
          <w:szCs w:val="24"/>
          <w:lang w:eastAsia="en-US"/>
        </w:rPr>
        <w:t>- 9 ед. органов местного самоуправления (Администрация Лазовского муниципального округа  являлась объектом контроля 7 раз (</w:t>
      </w:r>
      <w:r>
        <w:rPr>
          <w:spacing w:val="4"/>
          <w:sz w:val="24"/>
          <w:szCs w:val="24"/>
        </w:rPr>
        <w:t>учитываются столько раз, сколько раз они являлись объектами контрольных мероприятий)</w:t>
      </w:r>
      <w:r>
        <w:rPr>
          <w:rFonts w:eastAsia="Calibri" w:eastAsiaTheme="minorHAnsi"/>
          <w:sz w:val="24"/>
          <w:szCs w:val="24"/>
          <w:lang w:eastAsia="en-US"/>
        </w:rPr>
        <w:t>, Контрольно-счётная палата - 1 раз, Дума Лазовского муниципального округа -1 раз.);</w:t>
      </w:r>
    </w:p>
    <w:p>
      <w:pPr>
        <w:pStyle w:val="NormalWeb"/>
        <w:spacing w:lineRule="auto" w:line="240" w:before="0" w:after="0"/>
        <w:ind w:left="142" w:right="28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-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2 ед. муниципальных органов (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МКУ  «Центр культуры, спорта, туризма и молодёжной политики», Управление образования Лазовского муниципального округа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являлась объектом контроля по 1 разу);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- 6 ед. муниципальных (автономных, бюджетных) учреждений;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Контрольными мероприятиями в отчётном году было проверено </w:t>
      </w:r>
      <w:r>
        <w:rPr>
          <w:rFonts w:eastAsia="Calibri" w:eastAsiaTheme="minorHAnsi"/>
          <w:sz w:val="24"/>
          <w:szCs w:val="24"/>
          <w:lang w:eastAsia="en-US"/>
        </w:rPr>
        <w:t>бюджетных  средств в объеме 603032,6  тыс. рублей</w:t>
      </w:r>
      <w:r>
        <w:rPr>
          <w:rFonts w:eastAsia="Calibri"/>
          <w:sz w:val="24"/>
          <w:szCs w:val="24"/>
          <w:lang w:eastAsia="en-US"/>
        </w:rPr>
        <w:t xml:space="preserve"> или 84,7 % расходов  бюджета муниципального округа за 2022 год (составил 712122,7 тыс. рублей)</w:t>
      </w:r>
      <w:r>
        <w:rPr>
          <w:sz w:val="24"/>
          <w:szCs w:val="24"/>
        </w:rPr>
        <w:t>.</w:t>
      </w:r>
    </w:p>
    <w:p>
      <w:pPr>
        <w:pStyle w:val="NormalWeb"/>
        <w:tabs>
          <w:tab w:val="clear" w:pos="708"/>
          <w:tab w:val="left" w:pos="117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4"/>
          <w:sz w:val="24"/>
          <w:szCs w:val="24"/>
        </w:rPr>
        <w:t xml:space="preserve">Классификация нарушений, выявленных в ходе проведения контрольных и экспертно-аналитических мероприятий, осуществлялась с учетом </w:t>
      </w:r>
      <w:r>
        <w:rPr>
          <w:rFonts w:cs="Times New Roman" w:ascii="Times New Roman" w:hAnsi="Times New Roman"/>
          <w:b w:val="false"/>
          <w:bCs w:val="false"/>
          <w:spacing w:val="4"/>
          <w:sz w:val="24"/>
          <w:szCs w:val="24"/>
        </w:rPr>
        <w:t>Классификатора нарушений, выявляемых в ходе внешнего государственного аудита (контроля)</w:t>
      </w:r>
      <w:r>
        <w:rPr>
          <w:rStyle w:val="Style14"/>
          <w:rFonts w:cs="Times New Roman" w:ascii="Times New Roman" w:hAnsi="Times New Roman"/>
          <w:spacing w:val="4"/>
          <w:sz w:val="24"/>
          <w:szCs w:val="24"/>
        </w:rPr>
        <w:footnoteReference w:id="3"/>
      </w:r>
      <w:r>
        <w:rPr>
          <w:rFonts w:cs="Times New Roman" w:ascii="Times New Roman" w:hAnsi="Times New Roman"/>
          <w:spacing w:val="4"/>
          <w:sz w:val="24"/>
          <w:szCs w:val="24"/>
        </w:rPr>
        <w:t>(далее-классификатор), предусматривающего градацию нарушений, как по количественным, так и по стоимостным параметрам в зависимости от вида нарушений.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Данные по выявленным нарушениям представлены в Таблице 2: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right="-2" w:hanging="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Таблица 2</w:t>
      </w:r>
    </w:p>
    <w:tbl>
      <w:tblPr>
        <w:tblW w:w="96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78"/>
        <w:gridCol w:w="2136"/>
        <w:gridCol w:w="1470"/>
        <w:gridCol w:w="1305"/>
      </w:tblGrid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классифицированных  нарушений, выявленных в ходе проведения контрольных мероприятий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нарушений (ед) /в том числе количество финансовых нарушений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(ед.) 2022г.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выявленных нарушений , (тыс. руб.) 2022г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выявленных нарушений , (тыс. руб.) 2021г.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Нарушения при формировании и исполнении бюджетов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46/17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97158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2592,8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96/23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154/146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6816,8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Иные нарушения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классифицированных нарушений, из них: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298/177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104148,0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2592,8</w:t>
            </w:r>
          </w:p>
        </w:tc>
      </w:tr>
      <w:tr>
        <w:trPr/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1746,9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нарушений выявленных в ходе осуществления внешнего муниципального финансового контроля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299/177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104218,9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2596,8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В ходе проведения контрольных и экспертно-аналитических мероприятий в 2022 году было выявлено в общем количестве 299 ед.  нарушений (из них 177 ед. имеющих финансовые нарушения)   на общую сумму 104218,9  тыс. рублей, из них: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  <w:t xml:space="preserve">Классифицированные нарушения – 298ед.,  на сумму 104148,0 тыс. рублей: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bCs/>
          <w:iCs/>
          <w:sz w:val="24"/>
          <w:szCs w:val="24"/>
          <w:lang w:eastAsia="en-US"/>
        </w:rPr>
        <w:t xml:space="preserve">1. </w:t>
      </w:r>
      <w:r>
        <w:rPr>
          <w:rFonts w:eastAsia="Calibri" w:eastAsiaTheme="minorHAnsi"/>
          <w:b/>
          <w:bCs/>
          <w:i/>
          <w:iCs/>
          <w:sz w:val="24"/>
          <w:szCs w:val="24"/>
          <w:lang w:eastAsia="en-US"/>
        </w:rPr>
        <w:t>Нарушения при формировании и исполнении бюджетов -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97148 тыс. руб.</w:t>
      </w:r>
      <w:r>
        <w:rPr>
          <w:rFonts w:eastAsia="Calibri" w:eastAsiaTheme="minorHAnsi"/>
          <w:sz w:val="24"/>
          <w:szCs w:val="24"/>
          <w:lang w:eastAsia="en-US"/>
        </w:rPr>
        <w:t xml:space="preserve"> 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46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b/>
          <w:sz w:val="24"/>
          <w:szCs w:val="24"/>
          <w:lang w:eastAsia="en-US"/>
        </w:rPr>
        <w:t xml:space="preserve">ед. нарушений, из них 17 ед. имеющих финансовые нарушения ), </w:t>
      </w:r>
      <w:r>
        <w:rPr>
          <w:rFonts w:eastAsia="Calibri" w:eastAsiaTheme="minorHAnsi"/>
          <w:sz w:val="24"/>
          <w:szCs w:val="24"/>
          <w:lang w:eastAsia="en-US"/>
        </w:rPr>
        <w:t>в том числе нарушения связанные с ходом исполнения бюджетов по расходам, несоблюдением требований к составлению и (или) представлению проекта решения о внесении изменений в муниципальные программы.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1.Нарушения установлены при  </w:t>
      </w:r>
      <w:r>
        <w:rPr>
          <w:rFonts w:eastAsia="Calibri" w:cs="Times New Roman" w:eastAsiaTheme="minorHAnsi"/>
          <w:sz w:val="24"/>
          <w:szCs w:val="24"/>
          <w:lang w:eastAsia="en-US"/>
        </w:rPr>
        <w:t>формировании и исполнении муниципального задания, плана финансово-хозяйственной деятельности: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- </w:t>
      </w:r>
      <w:r>
        <w:rPr>
          <w:rFonts w:eastAsia="Calibri" w:cs="Times New Roman" w:eastAsiaTheme="minorHAnsi"/>
          <w:sz w:val="24"/>
          <w:szCs w:val="24"/>
          <w:lang w:eastAsia="en-US"/>
        </w:rPr>
        <w:t>МБУДОД«Детская школа исскуств»  в формировании и исполнении муниципального задания на сумму 2611,4 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  <w:t>- МАУ «Редакция газеты «Синегорье» в формировании и исполнении муниципального задания на сумму 1150 тыс.руб.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 xml:space="preserve">        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>2. Мониторинг соответствия объемов финансирования муниципальных программ Лазовского муниципального округа с параметрами, утвержденными решениями о бюджете выявил расхождение в сумме 83239,7тыс. рублей.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 xml:space="preserve">           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>3. П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 xml:space="preserve">о МП «Экономическое развитие Лазовского МО на 2021-2023г», подпрограмма «Развитие градостроительной деятельности» не внесены изменения на сумму 10146,9 тыс.руб. в соответствии с 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 xml:space="preserve">решениями о бюджете.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2.</w:t>
      </w:r>
      <w:r>
        <w:rPr>
          <w:rFonts w:eastAsia="Calibri" w:eastAsiaTheme="minorHAnsi"/>
          <w:b/>
          <w:i/>
          <w:sz w:val="24"/>
          <w:szCs w:val="24"/>
          <w:lang w:eastAsia="en-US"/>
        </w:rPr>
        <w:t xml:space="preserve"> Нарушения ведения бухгалтерского учета, составления и представления бухгалтерской (финансовой) отчетности- </w:t>
      </w:r>
      <w:r>
        <w:rPr>
          <w:rFonts w:eastAsia="Calibri" w:eastAsiaTheme="minorHAnsi"/>
          <w:b/>
          <w:sz w:val="24"/>
          <w:szCs w:val="24"/>
          <w:lang w:eastAsia="en-US"/>
        </w:rPr>
        <w:t>173,2 тыс. рублей (96 ед. (из них 23 ед. имеющих финансовые нарушения)</w:t>
      </w:r>
      <w:r>
        <w:rPr>
          <w:rFonts w:eastAsia="Calibri" w:eastAsiaTheme="minorHAnsi"/>
          <w:sz w:val="24"/>
          <w:szCs w:val="24"/>
          <w:lang w:eastAsia="en-US"/>
        </w:rPr>
        <w:t>,из них:  связанные с нарушением требований, предъявляемых к оформлению фактов хозяйственной жизни экономического субъекта первичными учетными документами,    связанные с нарушением требований, предъявляемых к применению правил ведения бухгалтерского учета и составления бухгалтерской отчетности.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1.Нарушения установлены  в</w:t>
      </w:r>
      <w:r>
        <w:rPr>
          <w:rFonts w:eastAsia="Calibri" w:cs="Times New Roman" w:eastAsiaTheme="minorHAnsi"/>
          <w:sz w:val="24"/>
          <w:szCs w:val="24"/>
          <w:lang w:eastAsia="en-US"/>
        </w:rPr>
        <w:t>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- </w:t>
      </w:r>
      <w:r>
        <w:rPr>
          <w:rFonts w:eastAsia="Calibri" w:cs="Times New Roman" w:eastAsiaTheme="minorHAnsi"/>
          <w:sz w:val="24"/>
          <w:szCs w:val="24"/>
          <w:lang w:eastAsia="en-US"/>
        </w:rPr>
        <w:t>МБУДОД«Детская школа исскуств»    на сумму 58,7 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  <w:t>- МАУ «Редакция газеты «Синегорье»   на сумму 114,5 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3.</w:t>
      </w:r>
      <w:r>
        <w:rPr>
          <w:rFonts w:eastAsia="Calibri" w:eastAsiaTheme="minorHAnsi"/>
          <w:b/>
          <w:i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b/>
          <w:bCs/>
          <w:i/>
          <w:iCs/>
          <w:sz w:val="24"/>
          <w:szCs w:val="24"/>
          <w:lang w:eastAsia="en-US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>
        <w:rPr>
          <w:rFonts w:eastAsia="Calibri" w:eastAsiaTheme="minorHAnsi"/>
          <w:b/>
          <w:i/>
          <w:sz w:val="24"/>
          <w:szCs w:val="24"/>
          <w:lang w:eastAsia="en-US"/>
        </w:rPr>
        <w:t>- 6816,8 тыс. рублей (</w:t>
      </w:r>
      <w:r>
        <w:rPr>
          <w:rFonts w:eastAsia="Calibri" w:eastAsiaTheme="minorHAnsi"/>
          <w:b/>
          <w:sz w:val="24"/>
          <w:szCs w:val="24"/>
          <w:lang w:eastAsia="en-US"/>
        </w:rPr>
        <w:t xml:space="preserve">154 ед., из них 146 ед. имеющих финансовые нарушения), </w:t>
      </w:r>
      <w:r>
        <w:rPr>
          <w:rFonts w:eastAsia="Calibri" w:eastAsiaTheme="minorHAnsi"/>
          <w:sz w:val="24"/>
          <w:szCs w:val="24"/>
          <w:lang w:eastAsia="en-US"/>
        </w:rPr>
        <w:t xml:space="preserve">из них;   нарушения связанные с порядком формирования назначения контрактных управляющих, нарушения связанные порядком формирования, утверждения планов графиков,  не включением в контракт (договор) обязательных условий,   неприменение мер </w:t>
      </w:r>
      <w:r>
        <w:rPr>
          <w:spacing w:val="-1"/>
          <w:kern w:val="2"/>
          <w:sz w:val="24"/>
          <w:szCs w:val="24"/>
        </w:rPr>
        <w:t>по взысканию  неустойки (пени, штрафы) за нарушение условий исполнения контракта (договора)</w:t>
      </w:r>
      <w:r>
        <w:rPr>
          <w:rFonts w:eastAsia="Calibri"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принятие бюджетных обязательств в размерах, превышающих утвержденные лимиты бюджетных обязательств.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1.Нарушения установлены  в</w:t>
      </w:r>
      <w:r>
        <w:rPr>
          <w:rFonts w:eastAsia="Calibri" w:cs="Times New Roman" w:eastAsiaTheme="minorHAnsi"/>
          <w:sz w:val="24"/>
          <w:szCs w:val="24"/>
          <w:lang w:eastAsia="en-US"/>
        </w:rPr>
        <w:t>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- </w:t>
      </w:r>
      <w:r>
        <w:rPr>
          <w:rFonts w:eastAsia="Calibri" w:cs="Times New Roman" w:eastAsiaTheme="minorHAnsi"/>
          <w:sz w:val="24"/>
          <w:szCs w:val="24"/>
          <w:lang w:eastAsia="en-US"/>
        </w:rPr>
        <w:t>МБУДОД«Детская школа исскуств»    на сумму 4700 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  <w:t>- МАУ «Редакция газеты «Синегорье»   на сумму 2116,8тыс.руб.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 xml:space="preserve">4. </w:t>
      </w:r>
      <w:r>
        <w:rPr>
          <w:rFonts w:eastAsia="Calibri" w:eastAsiaTheme="minorHAnsi"/>
          <w:b/>
          <w:i/>
          <w:sz w:val="24"/>
          <w:szCs w:val="24"/>
          <w:lang w:eastAsia="en-US"/>
        </w:rPr>
        <w:t>Иные нарушения- 1 ед. нарушений,</w:t>
      </w:r>
      <w:r>
        <w:rPr>
          <w:rFonts w:eastAsia="Calibri" w:eastAsiaTheme="minorHAnsi"/>
          <w:sz w:val="24"/>
          <w:szCs w:val="24"/>
          <w:lang w:eastAsia="en-US"/>
        </w:rPr>
        <w:t xml:space="preserve"> связанно с нарушением начисления муниципальной пенсии, сумма нарушений составила 70,9 тыс.руб.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  <w:t>Неэффективное использованием бюджетных средств</w:t>
      </w:r>
      <w:r>
        <w:rPr>
          <w:rFonts w:eastAsia="Calibri" w:eastAsiaTheme="minorHAnsi"/>
          <w:b/>
          <w:i/>
          <w:sz w:val="24"/>
          <w:szCs w:val="24"/>
          <w:lang w:eastAsia="en-US"/>
        </w:rPr>
        <w:t xml:space="preserve"> -2 ед. на сумму 1746,9 тыс. рублей, </w:t>
      </w:r>
      <w:r>
        <w:rPr>
          <w:rFonts w:eastAsia="Calibri" w:eastAsiaTheme="minorHAnsi"/>
          <w:sz w:val="24"/>
          <w:szCs w:val="24"/>
          <w:lang w:eastAsia="en-US"/>
        </w:rPr>
        <w:t>из них:   связанные оплатой</w:t>
      </w:r>
      <w:r>
        <w:rPr>
          <w:color w:val="000000"/>
          <w:sz w:val="24"/>
          <w:szCs w:val="24"/>
        </w:rPr>
        <w:t xml:space="preserve"> юридическим лицом судебных издержек (пени, штрафных санкций) </w:t>
      </w:r>
      <w:r>
        <w:rPr>
          <w:sz w:val="24"/>
          <w:szCs w:val="24"/>
        </w:rPr>
        <w:t xml:space="preserve">обусловленных ненадлежащим исполнением должностным лицом должностных обязанностей; </w:t>
      </w:r>
      <w:r>
        <w:rPr>
          <w:rFonts w:eastAsia="Calibri"/>
          <w:color w:val="000000"/>
          <w:sz w:val="24"/>
          <w:szCs w:val="24"/>
        </w:rPr>
        <w:t>отказ от конкурентных процедур и от экономии, возможной при проведении конкурентных процедур, расходы в сумме 600000  рублей не отвечают принципу эффективного использования бюджетных средств, оплата разработки генерального плана градостроительства, не утвержденного комиссией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  многочисленных  нарушений,  допускаемых  при  расходовании средств,  говорит  о  недостатках  системы  управления  и  контроля.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Выявленные проверками нарушения связаны в основном с неправильным применением руководителями учреждений и их финансовыми службами норм действующего законодательства и применяемой нормативно-правовой базы, а также невнимательностью, ослаблением контроля и ответственности исполнителей.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контрольных мероприятий, включая внешнюю проверку бюджетной отчётности главных администраторов бюджетных средств, в отчётном году составлено 14 актов и 7 заключений.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  <w:lang w:eastAsia="en-US"/>
        </w:rPr>
        <w:t>2.3. Экспертно-аналитическая деятельность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В рамках экспертно-аналитического направления деятельности Контрольно-счётной палаты проводился анализ поступивших на экспертизу проектов решений представительного органа муниципального образования и иных муниципальных правовых актов, проводились экспертно-аналитические мероприятия.</w:t>
      </w:r>
    </w:p>
    <w:p>
      <w:pPr>
        <w:pStyle w:val="11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Liberation Serif" w:ascii="Times New Roman" w:hAnsi="Times New Roman"/>
          <w:sz w:val="24"/>
          <w:szCs w:val="24"/>
        </w:rPr>
        <w:t xml:space="preserve"> </w:t>
      </w:r>
      <w:r>
        <w:rPr>
          <w:rFonts w:cs="Liberation Serif" w:ascii="Times New Roman" w:hAnsi="Times New Roman"/>
          <w:sz w:val="24"/>
          <w:szCs w:val="24"/>
        </w:rPr>
        <w:t>В 2022 году проведено 3 анализа (мониторинга) об исполнении бюджета  округа: за 1 квартал 2022года, за 1 полугодие 2022 года, за 9 месяцев 2022года (в 2021г. не проводился).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    </w:t>
      </w:r>
      <w:r>
        <w:rPr>
          <w:rFonts w:cs="Liberation Serif"/>
          <w:sz w:val="24"/>
          <w:szCs w:val="24"/>
        </w:rPr>
        <w:t xml:space="preserve">В 2022 году проведено 35 финансово-экономических экспертиз (в 2021 году – 8), в т. ч.: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/>
          <w:sz w:val="24"/>
          <w:szCs w:val="24"/>
        </w:rPr>
        <w:t>-1 экспертиза на проект Решения Думы  округа об исполнении бюджета за 2021 год, подготовлено 1 заключение без замечаний;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/>
          <w:sz w:val="24"/>
          <w:szCs w:val="24"/>
        </w:rPr>
        <w:tab/>
        <w:t>-8 экспертиз по проектам Решений Думы округа о внесении изменений в бюджет городского округа, подготовлено 8 заключений без замечаний;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/>
          <w:sz w:val="24"/>
          <w:szCs w:val="24"/>
        </w:rPr>
        <w:tab/>
        <w:t>-1 экспертиза проекта Решения Думы  округа о бюджете  округа на 2023 год и плановый период 2024 и 2025 годов, подготовлено 2 заключения без замечаний;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Liberation Serif"/>
          <w:sz w:val="24"/>
          <w:szCs w:val="24"/>
        </w:rPr>
        <w:tab/>
        <w:t>-24 экспертизы проектов нормативно-правовых актов (в том числе 4 экспертизы проектов нормативно-правовых актов об утверждении или внесении изменений в муниципальные программы), подготовлено 24 заключения, в т. ч. с предложением устранения установленных 8 замечаний на сумму 5750,4тыс. руб. (все замечания по результатам проведения экспертиз проектов нормативно-правовых актов об утверждении или внесении изменений в муниципальные программы).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В заключениях Контрольно-счётная палата  указывала на следующие замечания: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не соблюдение трехмесячного срока приведения муниципальных программ  в соответствие с Решение о бюджете (Согласно требованиям, изложенным в пункте 2 статьи 179 БК РФ, </w:t>
      </w: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 xml:space="preserve">государственные (муниципальные) программы подлежат приведению в соответствие с законом (решением) о бюджете </w:t>
      </w:r>
      <w:r>
        <w:rPr>
          <w:rFonts w:eastAsia="Calibri" w:cs="Times New Roman" w:ascii="Times New Roman" w:hAnsi="Times New Roman" w:eastAsiaTheme="minorHAnsi"/>
          <w:bCs/>
          <w:iCs/>
          <w:sz w:val="24"/>
          <w:szCs w:val="24"/>
          <w:lang w:eastAsia="en-US"/>
        </w:rPr>
        <w:t xml:space="preserve">не позднее трёх месяцев </w:t>
      </w: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>со дня вступления его в силу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);</w:t>
      </w:r>
    </w:p>
    <w:p>
      <w:pPr>
        <w:pStyle w:val="Normal"/>
        <w:tabs>
          <w:tab w:val="clear" w:pos="708"/>
          <w:tab w:val="center" w:pos="0" w:leader="none"/>
        </w:tabs>
        <w:spacing w:lineRule="auto" w:line="240" w:before="0"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2022 году в адрес КСП ответственными исполнителями МП не направлялись проекты постановлений на  вносимые изменения. После указания   о нарушении постановления главы администрации, проекты постановлений стали поступать в КСП.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Calibri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eastAsiaTheme="minorHAnsi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2.4. Реализация результатов контрольных и экспертно-аналитических мероприятий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В 2022 году в адрес объектов контроля Контрольно-счётной палатой направлено 7 представлений  с предложениями о принятии мер по устранению выявленных нарушений,   привлечению к ответственности лиц, допустивших нарушения.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Представления, направленные объектам контроля     остаются на контроле КСП.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негативным моментам при работе с исполнением представлений можно отнести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-повторность нарушений, что указывает на отсутствие продуманной системы мероприятий, направленных на исправление недочётов и недопущение аналогичных ошибок в будущем;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-объектами контроля проводится неполноценная работа по установлению причин и условий, приведших (способствовавших) к нарушениям.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За ненадлежащие исполнение ответственными должностными лицами должностных обязанностей к дисциплинарной ответственности в 2022 году привлечено 5</w:t>
      </w:r>
      <w:r>
        <w:rPr>
          <w:sz w:val="24"/>
          <w:szCs w:val="24"/>
        </w:rPr>
        <w:t xml:space="preserve"> должностных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В 2022 году Контрольно-счётной палатой направлены 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 xml:space="preserve"> отчетов по результатам проведенных контрольных мероприятий в Думу Лазовского муниципального округа и Главе Лазовского муниципального округа.</w:t>
      </w:r>
    </w:p>
    <w:p>
      <w:pPr>
        <w:pStyle w:val="Style21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Лазовского муниципального округа направлено 1 обращение в целях устранения </w:t>
      </w:r>
      <w:r>
        <w:rPr>
          <w:color w:val="000000"/>
          <w:sz w:val="24"/>
          <w:szCs w:val="24"/>
          <w:lang w:val="ru-RU"/>
        </w:rPr>
        <w:t>нарушений, выявленных при проверке МАУ «Синегорье»</w:t>
      </w:r>
      <w:r>
        <w:rPr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отчётном периоде законность вынесенных Контрольно-счётной палатой представлений в судебном порядке не обжаловалась. Жалобы, на действия Контрольно-счётной палаты округа в Думу Лазовского муниципального округа не поступали.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Обеспечение деятельности Контрольно-счётной палаты.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2022 года была продолжена работа по совершенствованию нормативных актов, регламентирующих деятельность Контрольно-счётной палаты.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настоящее время методическая база </w:t>
      </w:r>
      <w:r>
        <w:rPr>
          <w:color w:val="000000"/>
          <w:sz w:val="24"/>
          <w:szCs w:val="24"/>
        </w:rPr>
        <w:t>Контрольно-счётной палаты</w:t>
      </w:r>
      <w:r>
        <w:rPr>
          <w:sz w:val="24"/>
          <w:szCs w:val="24"/>
        </w:rPr>
        <w:t xml:space="preserve"> состоит из 22 муниципальных актов, регламентирующих порядок осуществления Контрольно-счётной палатой Лазовского муниципального округа внешнего муниципального финансового контроля (стандартов внешнего муниципального финансового контроля,  стандартов организации деятельности Контрольно-счётной палаты, методических рекомендаций и соглашений). В 2023 году деятельность Контрольно-счётной палаты при необходимости будет  совершенствоваться локальной нормативной правовой базой.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Председатель Контрольно-счётной палаты округа в</w:t>
      </w:r>
      <w:r>
        <w:rPr>
          <w:color w:val="000000"/>
          <w:sz w:val="24"/>
          <w:szCs w:val="24"/>
        </w:rPr>
        <w:t xml:space="preserve"> течение 2022 года </w:t>
      </w:r>
      <w:r>
        <w:rPr>
          <w:rFonts w:eastAsia="Calibri"/>
          <w:sz w:val="24"/>
          <w:szCs w:val="24"/>
          <w:lang w:eastAsia="en-US"/>
        </w:rPr>
        <w:t xml:space="preserve">участвовала в заседаниях Думы Лазовского муниципального округа, также принимала участие </w:t>
      </w:r>
      <w:r>
        <w:rPr>
          <w:sz w:val="24"/>
          <w:szCs w:val="24"/>
        </w:rPr>
        <w:t>в ежегодном заседании Совета контрольно-счётных органов при Счетной палате Приморского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Контрольно-счётной палаты  в 2022 году   прошла курсы повышения квалификации связанные с исполнением полномочий и деятельностью Контрольно-счётной палаты. Также ежемесячно </w:t>
      </w:r>
      <w:r>
        <w:rPr>
          <w:rFonts w:eastAsia="Calibri"/>
          <w:sz w:val="24"/>
          <w:szCs w:val="24"/>
          <w:lang w:eastAsia="en-US"/>
        </w:rPr>
        <w:t xml:space="preserve">принимала участие  в обучающих мероприятиях, проводимых </w:t>
      </w:r>
      <w:r>
        <w:rPr>
          <w:sz w:val="24"/>
          <w:szCs w:val="24"/>
        </w:rPr>
        <w:t>Союзом муниципальных контрольно-счётных органов при Счетной палате РФ.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lineRule="auto" w:line="240" w:before="0" w:after="0"/>
        <w:ind w:left="-54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Гласность в деятельности </w:t>
      </w:r>
      <w:r>
        <w:rPr>
          <w:rFonts w:cs="Times New Roman" w:ascii="Times New Roman" w:hAnsi="Times New Roman"/>
          <w:b/>
          <w:bCs/>
          <w:sz w:val="24"/>
          <w:szCs w:val="24"/>
        </w:rPr>
        <w:t>Контрольно-счётной палаты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07 февраля 2011 года № 6-ФЗ и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 в 2022 году вся информация о деятельности Контрольно-счётной палаты размещалась на странице Контрольно-счётной палаты на сайте Администрации Лазовского муниципального округа . </w:t>
      </w:r>
      <w:r>
        <w:rPr>
          <w:rFonts w:eastAsia="Calibri"/>
          <w:sz w:val="24"/>
          <w:szCs w:val="24"/>
          <w:lang w:eastAsia="en-US"/>
        </w:rPr>
        <w:t>В разделах сайта систематически размещается и актуализируется подробная информация о текущей деятельности Контрольно-счётной палаты: контрольной, экспертно-аналитической, организационной. Всего в отчетном периоде было размещено 9 публикаций и сообщений о проведенных контрольных и экспортно-аналитических мероприятиях, о выявленных при их проведении нарушениях, о вынесенных представлениях.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соответствии с требованиями законодательства о контрактной системе (с учётом положений Стандарта внешнего муниципального финансового контроля Контрольно-счётной палаты СВМФК 02 «Проведение аудита в сфере закупок товаров, работ, услуг для обеспечения муниципальных нужд») сформирована и будет размещена в единой информационной системе в сфере закупок (https://zakupki.gov.ru/) обобщённая информация о результатах аудита в сфере закупок за 2022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Контрольно-счётной палатой подготовлено  6 информационно-аналитических материалов которые размещены на странице Контрольно-счетной палаты официального сайта Администрации Лазовского муниципального округа 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val="ru-RU" w:eastAsia="en-US"/>
        </w:rPr>
        <w:t>В соответствии с федеральным законом от 14.07.2022г. № 270-ФЗ на 1 декабря 2022г. созданы официальные страницы в социальных сетях (Вконтакте, Одноклассники), для размещения информации о работе.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Количество выходных документов по результатам контрольной и экспертно-аналитической деятельности в отчётном году составило  - </w:t>
      </w:r>
      <w:r>
        <w:rPr>
          <w:rFonts w:eastAsia="Calibri" w:eastAsiaTheme="minorHAnsi"/>
          <w:b w:val="false"/>
          <w:bCs w:val="false"/>
          <w:sz w:val="24"/>
          <w:szCs w:val="24"/>
          <w:lang w:eastAsia="en-US"/>
        </w:rPr>
        <w:t>64 ед.,</w:t>
      </w:r>
      <w:r>
        <w:rPr>
          <w:rFonts w:eastAsia="Calibri" w:eastAsiaTheme="minorHAnsi"/>
          <w:sz w:val="24"/>
          <w:szCs w:val="24"/>
          <w:lang w:eastAsia="en-US"/>
        </w:rPr>
        <w:t xml:space="preserve">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-Акты проверок – 8 ед.,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-Заключения по проверкам </w:t>
      </w:r>
      <w:r>
        <w:rPr>
          <w:sz w:val="24"/>
          <w:szCs w:val="24"/>
        </w:rPr>
        <w:t>бюджетной отчетности главных администраторов средств бюджета муниципального района за 2021 год- 6 ед.,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-Заключения по экспертно-аналитическим мероприятиям экспертизы проектов муниципальных правовых актов за 2022 год- 35 ед.,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Заключения по протоколу разногласий (возражений и пояснений по акту проверки) – 0 ед.,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- Отчёты  о результатах контрольных мероприятий – 8 ед.,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Аналитических материалов (информаций, заключений) – 1 ед., 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Представлений – 7 ед.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Финансовое обеспечение деятельности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Контрольно-счётной </w:t>
      </w:r>
    </w:p>
    <w:p>
      <w:pPr>
        <w:pStyle w:val="NormalWeb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палаты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Штатная  численность  в 2022 году составляла три человека: председатель (занимает муниципальную должность), ведущий инспектор(должность муниципальной службы)  и главный бухгалтер. Фактическая численность на начало отчетного периода составляла -1,5 ставки, на конец отчетного периода – 1,5 ставки. </w:t>
      </w:r>
    </w:p>
    <w:p>
      <w:pPr>
        <w:pStyle w:val="NormalWeb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Расходы на обеспечение деятельности Контрольно-счётной палаты производились на основании бюджетной сметы, утвержденной председателем Контрольно-счётной палаты в соответствии с классификацией расходов бюджетов Российской Федерации.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Кассовые расходы бюджета Лазовского муниципального округа на содержание Контрольно-счётной палаты за отчетный период составили 2135,1 тыс. рублей.  </w:t>
      </w:r>
      <w:r>
        <w:rPr>
          <w:bCs/>
          <w:sz w:val="24"/>
          <w:szCs w:val="24"/>
        </w:rPr>
        <w:t xml:space="preserve"> Оплата труда лиц, замещающих в Контрольно-счётной палате муниципальные должности, осуществлялись в соответствии с Положением о порядке определения денежного содержания и материальном стимулирования лиц, замещающих муниципальные должности, должности муниципальных служащих и служащих Контрольно-счётной палаты Лазовского муниципального округа.</w:t>
      </w:r>
    </w:p>
    <w:p>
      <w:pPr>
        <w:pStyle w:val="Style21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="0" w:after="0"/>
        <w:ind w:left="-54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Заключение</w:t>
      </w:r>
    </w:p>
    <w:p>
      <w:pPr>
        <w:pStyle w:val="NormalWeb"/>
        <w:spacing w:lineRule="auto" w:line="240" w:before="0" w:after="0"/>
        <w:ind w:left="-540"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Контрольно-счётной палатой за 2022 год обеспечено в полном объеме выполнение основных задач и функций органа внешнего муниципального финансового контроля в рамках годового плана работы.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Получение конечных результатов контрольных и экспертно-аналитических мероприятий, практическое оказание помощи объектам контроля в устранении недостатков и нарушений по–прежнему будут приоритетными направлениями работы Контрольно-счётной палаты в дальнейшем.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2023 году Контрольно-счётной палатой также будет продолжена работа по совершенствованию внешнего финансового контроля, повышению его качества и эффективности.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7">
                <wp:simplePos x="0" y="0"/>
                <wp:positionH relativeFrom="column">
                  <wp:posOffset>1784350</wp:posOffset>
                </wp:positionH>
                <wp:positionV relativeFrom="paragraph">
                  <wp:posOffset>-138430</wp:posOffset>
                </wp:positionV>
                <wp:extent cx="917575" cy="1276985"/>
                <wp:effectExtent l="0" t="0" r="0" b="0"/>
                <wp:wrapNone/>
                <wp:docPr id="24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6200000">
                          <a:off x="0" y="0"/>
                          <a:ext cx="916920" cy="127620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140.5pt;margin-top:-10.9pt;width:72.15pt;height:100.45pt;mso-wrap-style:none;v-text-anchor:middle;rotation:270" type="_x0000_t75">
                <v:imagedata r:id="rId4" o:detectmouseclick="t"/>
                <v:stroke color="#3465a4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="0" w:after="0"/>
        <w:ind w:left="-5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Председатель                                                       Л.С.Недомовная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567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60" w:after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6"/>
        </w:rPr>
        <w:footnoteRef/>
      </w:r>
      <w:r>
        <w:rPr/>
      </w:r>
    </w:p>
  </w:footnote>
  <w:footnote w:id="3">
    <w:p>
      <w:pPr>
        <w:pStyle w:val="NormalWeb"/>
        <w:spacing w:before="60" w:after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6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170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8170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581704"/>
    <w:pPr>
      <w:keepNext w:val="true"/>
      <w:widowControl w:val="false"/>
      <w:spacing w:lineRule="exact" w:line="278"/>
      <w:ind w:firstLine="513"/>
      <w:jc w:val="both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581704"/>
    <w:pPr>
      <w:keepNext w:val="true"/>
      <w:widowControl w:val="false"/>
      <w:outlineLvl w:val="1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Normal"/>
    <w:next w:val="Normal"/>
    <w:qFormat/>
    <w:rsid w:val="00581704"/>
    <w:pPr>
      <w:keepNext w:val="true"/>
      <w:widowControl w:val="false"/>
      <w:spacing w:lineRule="exact" w:line="192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Normal"/>
    <w:next w:val="Normal"/>
    <w:qFormat/>
    <w:rsid w:val="007b0312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81704"/>
    <w:rPr/>
  </w:style>
  <w:style w:type="character" w:styleId="Style10" w:customStyle="1">
    <w:name w:val="Текст выноски Знак"/>
    <w:link w:val="aa"/>
    <w:qFormat/>
    <w:rsid w:val="00962d4e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link w:val="a3"/>
    <w:qFormat/>
    <w:rsid w:val="00b63c79"/>
    <w:rPr>
      <w:sz w:val="24"/>
    </w:rPr>
  </w:style>
  <w:style w:type="character" w:styleId="FontStyle13" w:customStyle="1">
    <w:name w:val="Font Style13"/>
    <w:uiPriority w:val="99"/>
    <w:qFormat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Strong">
    <w:name w:val="Strong"/>
    <w:uiPriority w:val="22"/>
    <w:qFormat/>
    <w:rsid w:val="00a66ac6"/>
    <w:rPr>
      <w:b/>
      <w:bCs/>
    </w:rPr>
  </w:style>
  <w:style w:type="character" w:styleId="FontStyle34" w:customStyle="1">
    <w:name w:val="Font Style34"/>
    <w:uiPriority w:val="99"/>
    <w:qFormat/>
    <w:rsid w:val="008e06c0"/>
    <w:rPr>
      <w:rFonts w:ascii="Times New Roman" w:hAnsi="Times New Roman" w:cs="Times New Roman"/>
      <w:sz w:val="14"/>
      <w:szCs w:val="14"/>
    </w:rPr>
  </w:style>
  <w:style w:type="character" w:styleId="Style12" w:customStyle="1">
    <w:name w:val="Верхний колонтитул Знак"/>
    <w:link w:val="a5"/>
    <w:uiPriority w:val="99"/>
    <w:qFormat/>
    <w:rsid w:val="00215bd2"/>
    <w:rPr>
      <w:sz w:val="24"/>
      <w:szCs w:val="24"/>
    </w:rPr>
  </w:style>
  <w:style w:type="character" w:styleId="Style13" w:customStyle="1">
    <w:name w:val="Обычный (веб) Знак"/>
    <w:link w:val="ad"/>
    <w:uiPriority w:val="99"/>
    <w:qFormat/>
    <w:locked/>
    <w:rsid w:val="0056073d"/>
    <w:rPr>
      <w:rFonts w:ascii="Arial" w:hAnsi="Arial" w:cs="Arial"/>
      <w:color w:val="000000"/>
      <w:sz w:val="17"/>
      <w:szCs w:val="17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56073d"/>
    <w:rPr>
      <w:vertAlign w:val="superscript"/>
    </w:rPr>
  </w:style>
  <w:style w:type="character" w:styleId="Style15">
    <w:name w:val="Выделение"/>
    <w:basedOn w:val="DefaultParagraphFont"/>
    <w:qFormat/>
    <w:rsid w:val="0056073d"/>
    <w:rPr>
      <w:i/>
      <w:iCs/>
    </w:rPr>
  </w:style>
  <w:style w:type="character" w:styleId="Postbody" w:customStyle="1">
    <w:name w:val="postbody"/>
    <w:qFormat/>
    <w:rsid w:val="0091548c"/>
    <w:rPr>
      <w:rFonts w:cs="Times New Roman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rsid w:val="00581704"/>
    <w:pPr>
      <w:spacing w:lineRule="auto" w:line="360"/>
      <w:jc w:val="both"/>
    </w:pPr>
    <w:rPr>
      <w:szCs w:val="20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qFormat/>
    <w:rsid w:val="00581704"/>
    <w:pPr>
      <w:spacing w:lineRule="auto" w:line="360"/>
      <w:jc w:val="both"/>
    </w:pPr>
    <w:rPr>
      <w:sz w:val="28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5817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qFormat/>
    <w:rsid w:val="00581704"/>
    <w:pPr>
      <w:overflowPunct w:val="true"/>
      <w:spacing w:lineRule="auto" w:line="360"/>
      <w:jc w:val="center"/>
      <w:textAlignment w:val="baseline"/>
    </w:pPr>
    <w:rPr>
      <w:b/>
      <w:smallCaps/>
      <w:sz w:val="28"/>
      <w:szCs w:val="20"/>
    </w:rPr>
  </w:style>
  <w:style w:type="paragraph" w:styleId="Style27">
    <w:name w:val="Footer"/>
    <w:basedOn w:val="Normal"/>
    <w:rsid w:val="005817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7b0312"/>
    <w:pPr>
      <w:overflowPunct w:val="true"/>
      <w:jc w:val="both"/>
      <w:textAlignment w:val="baseline"/>
    </w:pPr>
    <w:rPr>
      <w:sz w:val="28"/>
      <w:szCs w:val="20"/>
      <w:lang w:eastAsia="ja-JP"/>
    </w:rPr>
  </w:style>
  <w:style w:type="paragraph" w:styleId="BalloonText">
    <w:name w:val="Balloon Text"/>
    <w:basedOn w:val="Normal"/>
    <w:link w:val="ab"/>
    <w:qFormat/>
    <w:rsid w:val="00962d4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63c7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3a2c6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NormalWeb">
    <w:name w:val="Normal (Web)"/>
    <w:basedOn w:val="Normal"/>
    <w:link w:val="ae"/>
    <w:uiPriority w:val="99"/>
    <w:qFormat/>
    <w:rsid w:val="00985f01"/>
    <w:pPr>
      <w:spacing w:before="60" w:after="30"/>
    </w:pPr>
    <w:rPr>
      <w:rFonts w:ascii="Arial" w:hAnsi="Arial" w:cs="Arial"/>
      <w:color w:val="000000"/>
      <w:sz w:val="17"/>
      <w:szCs w:val="17"/>
    </w:rPr>
  </w:style>
  <w:style w:type="paragraph" w:styleId="Style51" w:customStyle="1">
    <w:name w:val="Style5"/>
    <w:basedOn w:val="Normal"/>
    <w:uiPriority w:val="99"/>
    <w:qFormat/>
    <w:rsid w:val="00a66ac6"/>
    <w:pPr>
      <w:widowControl w:val="false"/>
      <w:spacing w:lineRule="exact" w:line="480"/>
      <w:ind w:firstLine="86"/>
    </w:pPr>
    <w:rPr/>
  </w:style>
  <w:style w:type="paragraph" w:styleId="Style61" w:customStyle="1">
    <w:name w:val="Style6"/>
    <w:basedOn w:val="Normal"/>
    <w:uiPriority w:val="99"/>
    <w:qFormat/>
    <w:rsid w:val="00a66ac6"/>
    <w:pPr>
      <w:widowControl w:val="false"/>
      <w:spacing w:lineRule="exact" w:line="482"/>
      <w:jc w:val="both"/>
    </w:pPr>
    <w:rPr/>
  </w:style>
  <w:style w:type="paragraph" w:styleId="ListParagraph">
    <w:name w:val="List Paragraph"/>
    <w:basedOn w:val="Normal"/>
    <w:uiPriority w:val="34"/>
    <w:qFormat/>
    <w:rsid w:val="006e5d6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41" w:customStyle="1">
    <w:name w:val="Style24"/>
    <w:basedOn w:val="Normal"/>
    <w:uiPriority w:val="99"/>
    <w:qFormat/>
    <w:rsid w:val="008e06c0"/>
    <w:pPr>
      <w:widowControl w:val="false"/>
      <w:spacing w:lineRule="exact" w:line="158"/>
      <w:ind w:firstLine="120"/>
      <w:jc w:val="both"/>
    </w:pPr>
    <w:rPr/>
  </w:style>
  <w:style w:type="paragraph" w:styleId="Default" w:customStyle="1">
    <w:name w:val="Default"/>
    <w:uiPriority w:val="99"/>
    <w:qFormat/>
    <w:rsid w:val="005607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" w:customStyle="1">
    <w:name w:val="Текст1"/>
    <w:basedOn w:val="Normal"/>
    <w:qFormat/>
    <w:rsid w:val="007d60b7"/>
    <w:pPr>
      <w:suppressAutoHyphens w:val="true"/>
    </w:pPr>
    <w:rPr>
      <w:rFonts w:ascii="Consolas" w:hAnsi="Consolas" w:eastAsia="Calibri" w:cs="Consolas"/>
      <w:sz w:val="21"/>
      <w:szCs w:val="21"/>
      <w:lang w:eastAsia="zh-CN"/>
    </w:rPr>
  </w:style>
  <w:style w:type="paragraph" w:styleId="Style28">
    <w:name w:val="Footnote Text"/>
    <w:basedOn w:val="Normal"/>
    <w:pPr/>
    <w:rPr/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95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181F-777B-4794-868E-BEC5B43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LibreOffice/7.2.1.2$Windows_X86_64 LibreOffice_project/87b77fad49947c1441b67c559c339af8f3517e22</Application>
  <AppVersion>15.0000</AppVersion>
  <Pages>11</Pages>
  <Words>3111</Words>
  <Characters>23112</Characters>
  <CharactersWithSpaces>26777</CharactersWithSpaces>
  <Paragraphs>255</Paragraphs>
  <Company>Администрация Шимского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2023-02-07T09:19:00Z</dcterms:created>
  <dc:creator>Настя</dc:creator>
  <dc:description/>
  <dc:language>ru-RU</dc:language>
  <cp:lastModifiedBy/>
  <cp:lastPrinted>2023-03-15T10:44:30Z</cp:lastPrinted>
  <dcterms:modified xsi:type="dcterms:W3CDTF">2023-03-29T14:51:01Z</dcterms:modified>
  <cp:revision>17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