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</w:rPr>
        <w:t xml:space="preserve">ИНФОРМАЦИЯ ПО КОНТРОЛЬНЫМ МЕРОПРИЯТИЯМ ЗА 4 КВАРТАЛ 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>20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>22 года.</w:t>
      </w:r>
    </w:p>
    <w:p>
      <w:pPr>
        <w:pStyle w:val="Normal"/>
        <w:bidi w:val="0"/>
        <w:jc w:val="both"/>
        <w:rPr>
          <w:rFonts w:ascii="Times New Roman" w:hAnsi="Times New Roman" w:eastAsia="Times New Roman" w:cs="Arial"/>
          <w:color w:val="000000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>1. П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редседателем 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>Контрольно-счётн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ой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 палат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 Лазовского МО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>Недомовной Л.С.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 в Муниципально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 автономно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  учреждения «Редакция газеты «Синегорье» (далее –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>учреждение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>Редакция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)  проведена проверка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en-US"/>
        </w:rPr>
        <w:t xml:space="preserve">  законности и результативности (эффективность и экономность)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использования средств бюджета за  2021 год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pStyle w:val="Style21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 xml:space="preserve">Проверка проведена по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план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 xml:space="preserve">работы КСП Лазовского МО на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 xml:space="preserve"> полугодие 2022г.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</w:rPr>
        <w:t>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</w:rPr>
        <w:t>Контрольное мероприятие (далее проверка) проведена за период с 01 января 20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>2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 xml:space="preserve"> г. по 31 декабря 20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>21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 xml:space="preserve"> г., объем проверенных средств 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>3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>890470</w:t>
      </w:r>
      <w:r>
        <w:rPr>
          <w:rFonts w:eastAsia="Times New Roman" w:cs="Arial" w:ascii="Times New Roman" w:hAnsi="Times New Roman"/>
          <w:color w:val="C9211E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color w:val="C9211E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 xml:space="preserve">рублей. 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>Проверка проводилась выборочно.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контрольного мероприятия выявлено следующее: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шения в ф</w:t>
      </w:r>
      <w:r>
        <w:rPr>
          <w:rFonts w:ascii="Times New Roman" w:hAnsi="Times New Roman"/>
          <w:sz w:val="24"/>
          <w:szCs w:val="24"/>
        </w:rPr>
        <w:t>ормировани</w:t>
      </w:r>
      <w:r>
        <w:rPr>
          <w:rFonts w:ascii="Times New Roman" w:hAnsi="Times New Roman"/>
          <w:sz w:val="24"/>
          <w:szCs w:val="24"/>
        </w:rPr>
        <w:t xml:space="preserve">и и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инансово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обеспечение выполнения</w:t>
      </w:r>
      <w:r>
        <w:rPr>
          <w:rFonts w:ascii="Times New Roman" w:hAnsi="Times New Roman"/>
          <w:color w:val="FF4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задания.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 субсидии на финансовое обеспечение выполнения муниципального задания завышен на 1150000 рублей. Исходя из объема  и муниципального задания </w:t>
      </w:r>
      <w:r>
        <w:rPr>
          <w:rFonts w:ascii="Times New Roman" w:hAnsi="Times New Roman"/>
          <w:sz w:val="24"/>
          <w:szCs w:val="24"/>
        </w:rPr>
        <w:t>размер субсидии должен составить 1850000 рублей(334380см кв.х 5,53263 руб.).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проверяемый период мониторинг выполнения муниципального задания Учредителем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осуществлялся </w:t>
      </w:r>
      <w:r>
        <w:rPr>
          <w:rFonts w:ascii="Times New Roman" w:hAnsi="Times New Roman"/>
          <w:sz w:val="24"/>
          <w:szCs w:val="24"/>
        </w:rPr>
        <w:t>не в полной мере.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</w:rPr>
        <w:t xml:space="preserve">тчет по утвержденной форме Учреждением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на официальном сайте в информационно-телекоммуникационной сети Интернет </w:t>
      </w:r>
      <w:r>
        <w:rPr>
          <w:rFonts w:ascii="Times New Roman" w:hAnsi="Times New Roman"/>
          <w:i w:val="false"/>
          <w:iCs w:val="false"/>
          <w:sz w:val="24"/>
          <w:szCs w:val="24"/>
        </w:rPr>
        <w:t>не размещён.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Нарушения в формировании и исполнении </w:t>
      </w:r>
      <w:r>
        <w:rPr>
          <w:rFonts w:cs="Times New Roman" w:ascii="Times New Roman" w:hAnsi="Times New Roman"/>
          <w:color w:val="000000"/>
          <w:sz w:val="24"/>
          <w:szCs w:val="24"/>
        </w:rPr>
        <w:t>Плана финансово-хозяйственной деятельности.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нарушение Постановлени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Администрации Лазовского округа от 28.12.2020 № 4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«Об утверждении Порядка </w:t>
      </w:r>
      <w:r>
        <w:rPr>
          <w:rFonts w:cs="Arial" w:ascii="Times New Roman" w:hAnsi="Times New Roman"/>
          <w:sz w:val="24"/>
          <w:szCs w:val="24"/>
          <w:lang w:eastAsia="zh-CN"/>
        </w:rPr>
        <w:t>составления и утверждения плана финансово-хозяйственной деятельности муниципальных бюджетных и автономных учреждений Лазовского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первоначальный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 ФХД Учреждением составлен </w:t>
      </w:r>
      <w:r>
        <w:rPr>
          <w:rFonts w:ascii="Times New Roman" w:hAnsi="Times New Roman"/>
          <w:sz w:val="24"/>
          <w:szCs w:val="24"/>
        </w:rPr>
        <w:t xml:space="preserve">не по утвержденной </w:t>
      </w:r>
      <w:r>
        <w:rPr>
          <w:rFonts w:ascii="Times New Roman" w:hAnsi="Times New Roman"/>
          <w:sz w:val="24"/>
          <w:szCs w:val="24"/>
        </w:rPr>
        <w:t xml:space="preserve"> форме.   . </w:t>
      </w:r>
      <w:r>
        <w:rPr>
          <w:rFonts w:ascii="Times New Roman" w:hAnsi="Times New Roman"/>
          <w:sz w:val="24"/>
          <w:szCs w:val="24"/>
        </w:rPr>
        <w:t xml:space="preserve">В течении года План ФХД уточнялся </w:t>
      </w:r>
      <w:r>
        <w:rPr>
          <w:rFonts w:ascii="Times New Roman" w:hAnsi="Times New Roman"/>
          <w:sz w:val="24"/>
          <w:szCs w:val="24"/>
        </w:rPr>
        <w:t>четыре</w:t>
      </w:r>
      <w:r>
        <w:rPr>
          <w:rFonts w:ascii="Times New Roman" w:hAnsi="Times New Roman"/>
          <w:sz w:val="24"/>
          <w:szCs w:val="24"/>
        </w:rPr>
        <w:t xml:space="preserve"> раза.   Измененны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ФХД  составлен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 нарушением Порядка. </w:t>
      </w:r>
      <w:r>
        <w:rPr>
          <w:rFonts w:ascii="Times New Roman" w:hAnsi="Times New Roman"/>
          <w:sz w:val="24"/>
          <w:szCs w:val="24"/>
        </w:rPr>
        <w:t>Первоначальный</w:t>
      </w:r>
      <w:r>
        <w:rPr>
          <w:rFonts w:ascii="Times New Roman" w:hAnsi="Times New Roman"/>
          <w:sz w:val="24"/>
          <w:szCs w:val="24"/>
        </w:rPr>
        <w:t xml:space="preserve"> план ФХД на 2021год </w:t>
      </w:r>
      <w:r>
        <w:rPr>
          <w:rFonts w:ascii="Times New Roman" w:hAnsi="Times New Roman"/>
          <w:sz w:val="24"/>
          <w:szCs w:val="24"/>
        </w:rPr>
        <w:t>утвержден и</w:t>
      </w:r>
      <w:r>
        <w:rPr>
          <w:rFonts w:ascii="Times New Roman" w:hAnsi="Times New Roman"/>
          <w:sz w:val="24"/>
          <w:szCs w:val="24"/>
        </w:rPr>
        <w:t xml:space="preserve"> размещен на официальном сайте в сети Интернет www.bus.gov.ru </w:t>
      </w:r>
      <w:r>
        <w:rPr>
          <w:rFonts w:ascii="Times New Roman" w:hAnsi="Times New Roman"/>
          <w:sz w:val="24"/>
          <w:szCs w:val="24"/>
        </w:rPr>
        <w:t xml:space="preserve">с нарушением сроков(утвержден 30.04.2021г. Размещен 24 мая 2021 года). 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планы ФХД не утверждены наблюдательным советом.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Нарушения в бухгалтерском учете и учетной политике.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Нарушен</w:t>
      </w:r>
      <w:r>
        <w:rPr>
          <w:rFonts w:cs="Times New Roman" w:ascii="Times New Roman" w:hAnsi="Times New Roman"/>
          <w:sz w:val="24"/>
          <w:szCs w:val="24"/>
        </w:rPr>
        <w:t>ы: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приказ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приказ Минфина от </w:t>
      </w:r>
      <w:r>
        <w:rPr>
          <w:rFonts w:cs="Times New Roman" w:ascii="Times New Roman" w:hAnsi="Times New Roman"/>
          <w:sz w:val="24"/>
          <w:szCs w:val="24"/>
        </w:rPr>
        <w:t>23</w:t>
      </w:r>
      <w:r>
        <w:rPr>
          <w:rFonts w:cs="Times New Roman" w:ascii="Times New Roman" w:hAnsi="Times New Roman"/>
          <w:sz w:val="24"/>
          <w:szCs w:val="24"/>
        </w:rPr>
        <w:t>.12.2010 № 1</w:t>
      </w:r>
      <w:r>
        <w:rPr>
          <w:rFonts w:cs="Times New Roman" w:ascii="Times New Roman" w:hAnsi="Times New Roman"/>
          <w:sz w:val="24"/>
          <w:szCs w:val="24"/>
        </w:rPr>
        <w:t>83</w:t>
      </w:r>
      <w:r>
        <w:rPr>
          <w:rFonts w:cs="Times New Roman" w:ascii="Times New Roman" w:hAnsi="Times New Roman"/>
          <w:sz w:val="24"/>
          <w:szCs w:val="24"/>
        </w:rPr>
        <w:t>н «Об утверждении Плана счетов б</w:t>
      </w:r>
      <w:r>
        <w:rPr>
          <w:rFonts w:cs="Times New Roman" w:ascii="Times New Roman" w:hAnsi="Times New Roman"/>
          <w:sz w:val="24"/>
          <w:szCs w:val="24"/>
        </w:rPr>
        <w:t>ухгалтерского</w:t>
      </w:r>
      <w:r>
        <w:rPr>
          <w:rFonts w:cs="Times New Roman" w:ascii="Times New Roman" w:hAnsi="Times New Roman"/>
          <w:sz w:val="24"/>
          <w:szCs w:val="24"/>
        </w:rPr>
        <w:t xml:space="preserve"> учета </w:t>
      </w:r>
      <w:r>
        <w:rPr>
          <w:rFonts w:cs="Times New Roman" w:ascii="Times New Roman" w:hAnsi="Times New Roman"/>
          <w:sz w:val="24"/>
          <w:szCs w:val="24"/>
        </w:rPr>
        <w:t xml:space="preserve">автономных учреждений </w:t>
      </w:r>
      <w:r>
        <w:rPr>
          <w:rFonts w:cs="Times New Roman" w:ascii="Times New Roman" w:hAnsi="Times New Roman"/>
          <w:sz w:val="24"/>
          <w:szCs w:val="24"/>
        </w:rPr>
        <w:t>и Инструкции по его применению» (далее – Инструкция № 1</w:t>
      </w:r>
      <w:r>
        <w:rPr>
          <w:rFonts w:cs="Times New Roman" w:ascii="Times New Roman" w:hAnsi="Times New Roman"/>
          <w:sz w:val="24"/>
          <w:szCs w:val="24"/>
        </w:rPr>
        <w:t>83</w:t>
      </w:r>
      <w:r>
        <w:rPr>
          <w:rFonts w:cs="Times New Roman" w:ascii="Times New Roman" w:hAnsi="Times New Roman"/>
          <w:sz w:val="24"/>
          <w:szCs w:val="24"/>
        </w:rPr>
        <w:t>н).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В Учреждении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не </w:t>
      </w:r>
      <w:r>
        <w:rPr>
          <w:rFonts w:cs="Times New Roman" w:ascii="Times New Roman" w:hAnsi="Times New Roman"/>
          <w:sz w:val="24"/>
          <w:szCs w:val="24"/>
        </w:rPr>
        <w:t xml:space="preserve">соблюдается порядок формирования бухгалтерских операций и отражения их в регистрах бухгалтерского учета.  </w:t>
      </w:r>
      <w:bookmarkStart w:id="0" w:name="Par5111"/>
      <w:bookmarkEnd w:id="0"/>
      <w:r>
        <w:rPr>
          <w:rFonts w:cs="Times New Roman" w:ascii="Times New Roman" w:hAnsi="Times New Roman"/>
          <w:sz w:val="24"/>
          <w:szCs w:val="24"/>
        </w:rPr>
        <w:t xml:space="preserve">Бухгалтерский учет ведется </w:t>
      </w:r>
      <w:r>
        <w:rPr>
          <w:rFonts w:cs="Times New Roman" w:ascii="Times New Roman" w:hAnsi="Times New Roman"/>
          <w:sz w:val="24"/>
          <w:szCs w:val="24"/>
        </w:rPr>
        <w:t xml:space="preserve">не </w:t>
      </w:r>
      <w:r>
        <w:rPr>
          <w:rFonts w:cs="Times New Roman" w:ascii="Times New Roman" w:hAnsi="Times New Roman"/>
          <w:sz w:val="24"/>
          <w:szCs w:val="24"/>
        </w:rPr>
        <w:t>по форме учета, предусмотренной Инструкцией № 1</w:t>
      </w:r>
      <w:r>
        <w:rPr>
          <w:rFonts w:cs="Times New Roman" w:ascii="Times New Roman" w:hAnsi="Times New Roman"/>
          <w:sz w:val="24"/>
          <w:szCs w:val="24"/>
        </w:rPr>
        <w:t>83</w:t>
      </w:r>
      <w:r>
        <w:rPr>
          <w:rFonts w:cs="Times New Roman" w:ascii="Times New Roman" w:hAnsi="Times New Roman"/>
          <w:sz w:val="24"/>
          <w:szCs w:val="24"/>
        </w:rPr>
        <w:t xml:space="preserve">н </w:t>
      </w:r>
      <w:r>
        <w:rPr>
          <w:rFonts w:cs="Times New Roman" w:ascii="Times New Roman" w:hAnsi="Times New Roman"/>
          <w:sz w:val="24"/>
          <w:szCs w:val="24"/>
        </w:rPr>
        <w:t xml:space="preserve">и приказа №52н.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егистр</w:t>
      </w:r>
      <w:r>
        <w:rPr>
          <w:rFonts w:cs="Times New Roman" w:ascii="Times New Roman" w:hAnsi="Times New Roman"/>
          <w:sz w:val="24"/>
          <w:szCs w:val="24"/>
        </w:rPr>
        <w:t>ы</w:t>
      </w:r>
      <w:r>
        <w:rPr>
          <w:rFonts w:cs="Times New Roman" w:ascii="Times New Roman" w:hAnsi="Times New Roman"/>
          <w:sz w:val="24"/>
          <w:szCs w:val="24"/>
        </w:rPr>
        <w:t xml:space="preserve"> бухгалтерского учета</w:t>
      </w:r>
      <w:r>
        <w:rPr>
          <w:rFonts w:cs="Times New Roman" w:ascii="Times New Roman" w:hAnsi="Times New Roman"/>
          <w:sz w:val="24"/>
          <w:szCs w:val="24"/>
        </w:rPr>
        <w:t>(главная книга, журналы операций)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план счетов бухгалтерского учета не соответствуют утвержденным формам.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>
        <w:rPr>
          <w:rFonts w:ascii="Times New Roman" w:hAnsi="Times New Roman"/>
          <w:sz w:val="24"/>
          <w:szCs w:val="24"/>
        </w:rPr>
        <w:t>В нарушении</w:t>
      </w:r>
      <w:r>
        <w:rPr>
          <w:rFonts w:ascii="Times New Roman" w:hAnsi="Times New Roman"/>
          <w:sz w:val="24"/>
          <w:szCs w:val="24"/>
        </w:rPr>
        <w:t xml:space="preserve"> ст. 213 Инструкции 157н выдача денежных средств под отчет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осуществлялась на основании письменного заявления получателя на имя руководителя с указанием назначения аванса и срока, на который он выдается.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 Авансового отчета, применяемая учреждением, не соответствует форме по ОКУД </w:t>
      </w:r>
      <w:r>
        <w:rPr>
          <w:rFonts w:ascii="Times New Roman" w:hAnsi="Times New Roman"/>
          <w:color w:val="0000FF"/>
          <w:sz w:val="24"/>
          <w:szCs w:val="24"/>
        </w:rPr>
        <w:t>0504505</w:t>
      </w:r>
      <w:r>
        <w:rPr>
          <w:rFonts w:ascii="Times New Roman" w:hAnsi="Times New Roman"/>
          <w:sz w:val="24"/>
          <w:szCs w:val="24"/>
        </w:rPr>
        <w:t xml:space="preserve">  утвержденной приказом Министерства финансов Российской Федерации от 30.03.2015 № 52н. 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Заполнение формы авансового отчета осуществляется не в соответствии с Приложение № 5 к приказу № 52н от 30.03.2015 г.</w:t>
      </w:r>
    </w:p>
    <w:p>
      <w:pPr>
        <w:pStyle w:val="Style21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Так, в нарушение раздела «Авансовый отчет (код формы 0504505)», предусмотренного Приложением № 5 к приказу 52н. на оборотной стороне Авансового отчета </w:t>
      </w:r>
      <w:hyperlink r:id="rId2">
        <w:r>
          <w:rPr>
            <w:rStyle w:val="Style14"/>
            <w:rFonts w:ascii="Times New Roman" w:hAnsi="Times New Roman"/>
            <w:color w:val="0000FF"/>
            <w:sz w:val="24"/>
            <w:szCs w:val="24"/>
          </w:rPr>
          <w:t>графы 7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3">
        <w:r>
          <w:rPr>
            <w:rStyle w:val="Style14"/>
            <w:rFonts w:ascii="Times New Roman" w:hAnsi="Times New Roman"/>
            <w:color w:val="0000FF"/>
            <w:sz w:val="24"/>
            <w:szCs w:val="24"/>
          </w:rPr>
          <w:t>10</w:t>
        </w:r>
      </w:hyperlink>
      <w:r>
        <w:rPr>
          <w:rFonts w:ascii="Times New Roman" w:hAnsi="Times New Roman"/>
          <w:sz w:val="24"/>
          <w:szCs w:val="24"/>
        </w:rPr>
        <w:t xml:space="preserve">, содержащие сведения о расходах, принимаемых учреждением к бухгалтерскому учету, и бухгалтерские корреспонденции не заполняются лицом, на которое возложено ведение бухгалтерского учета. </w:t>
      </w:r>
      <w:r>
        <w:rPr>
          <w:rFonts w:ascii="Times New Roman" w:hAnsi="Times New Roman"/>
          <w:sz w:val="24"/>
          <w:szCs w:val="24"/>
          <w:lang w:val="en-US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а/о от</w:t>
      </w:r>
      <w:r>
        <w:rPr>
          <w:rFonts w:ascii="Times New Roman" w:hAnsi="Times New Roman"/>
          <w:sz w:val="24"/>
          <w:szCs w:val="24"/>
          <w:lang w:val="ru-RU"/>
        </w:rPr>
        <w:t>28</w:t>
      </w:r>
      <w:r>
        <w:rPr>
          <w:rFonts w:ascii="Times New Roman" w:hAnsi="Times New Roman"/>
          <w:sz w:val="24"/>
          <w:szCs w:val="24"/>
          <w:lang w:val="ru-RU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.2021г. №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; а/о от 0</w:t>
      </w:r>
      <w:r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 xml:space="preserve">.2021г. № 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;  а/о от </w:t>
      </w:r>
      <w:r>
        <w:rPr>
          <w:rFonts w:ascii="Times New Roman" w:hAnsi="Times New Roman"/>
          <w:sz w:val="24"/>
          <w:szCs w:val="24"/>
          <w:lang w:val="ru-RU"/>
        </w:rPr>
        <w:t>05.03</w:t>
      </w:r>
      <w:r>
        <w:rPr>
          <w:rFonts w:ascii="Times New Roman" w:hAnsi="Times New Roman"/>
          <w:sz w:val="24"/>
          <w:szCs w:val="24"/>
          <w:lang w:val="ru-RU"/>
        </w:rPr>
        <w:t>.2021г. № 1).</w:t>
      </w:r>
      <w:r>
        <w:rPr>
          <w:rFonts w:ascii="Times New Roman" w:hAnsi="Times New Roman"/>
          <w:sz w:val="24"/>
          <w:szCs w:val="24"/>
        </w:rPr>
        <w:t xml:space="preserve"> Расписка о принятии к проверке авансового отчета подотчетному лицу не выдается. 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нарушений составила </w:t>
      </w:r>
      <w:r>
        <w:rPr>
          <w:rFonts w:ascii="Times New Roman" w:hAnsi="Times New Roman"/>
          <w:sz w:val="24"/>
          <w:szCs w:val="24"/>
        </w:rPr>
        <w:t>8335</w:t>
      </w:r>
      <w:r>
        <w:rPr>
          <w:rFonts w:ascii="Times New Roman" w:hAnsi="Times New Roman"/>
          <w:sz w:val="24"/>
          <w:szCs w:val="24"/>
        </w:rPr>
        <w:t>рублей.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>
        <w:rPr>
          <w:rFonts w:ascii="Times New Roman" w:hAnsi="Times New Roman"/>
          <w:sz w:val="24"/>
          <w:szCs w:val="24"/>
        </w:rPr>
        <w:t xml:space="preserve">В нарушение Постановления Главы Администрация  </w:t>
      </w:r>
      <w:r>
        <w:rPr>
          <w:rFonts w:ascii="Times New Roman" w:hAnsi="Times New Roman"/>
          <w:sz w:val="24"/>
          <w:szCs w:val="24"/>
        </w:rPr>
        <w:t>Лазовского района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.2011 г за проверяемый период. Учреждением:</w:t>
      </w:r>
    </w:p>
    <w:p>
      <w:pPr>
        <w:pStyle w:val="Style21"/>
        <w:numPr>
          <w:ilvl w:val="0"/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велся перечень </w:t>
      </w:r>
      <w:r>
        <w:rPr>
          <w:rFonts w:cs="Times New Roman" w:ascii="Times New Roman" w:hAnsi="Times New Roman"/>
          <w:sz w:val="24"/>
          <w:szCs w:val="24"/>
        </w:rPr>
        <w:t xml:space="preserve"> особо ценно</w:t>
      </w:r>
      <w:r>
        <w:rPr>
          <w:rFonts w:cs="Times New Roman" w:ascii="Times New Roman" w:hAnsi="Times New Roman"/>
          <w:sz w:val="24"/>
          <w:szCs w:val="24"/>
        </w:rPr>
        <w:t>го</w:t>
      </w:r>
      <w:r>
        <w:rPr>
          <w:rFonts w:cs="Times New Roman" w:ascii="Times New Roman" w:hAnsi="Times New Roman"/>
          <w:sz w:val="24"/>
          <w:szCs w:val="24"/>
        </w:rPr>
        <w:t xml:space="preserve"> движимо</w:t>
      </w:r>
      <w:r>
        <w:rPr>
          <w:rFonts w:cs="Times New Roman" w:ascii="Times New Roman" w:hAnsi="Times New Roman"/>
          <w:sz w:val="24"/>
          <w:szCs w:val="24"/>
        </w:rPr>
        <w:t>го</w:t>
      </w:r>
      <w:r>
        <w:rPr>
          <w:rFonts w:cs="Times New Roman" w:ascii="Times New Roman" w:hAnsi="Times New Roman"/>
          <w:sz w:val="24"/>
          <w:szCs w:val="24"/>
        </w:rPr>
        <w:t xml:space="preserve"> имуществ</w:t>
      </w:r>
      <w:r>
        <w:rPr>
          <w:rFonts w:cs="Times New Roman" w:ascii="Times New Roman" w:hAnsi="Times New Roman"/>
          <w:sz w:val="24"/>
          <w:szCs w:val="24"/>
        </w:rPr>
        <w:t>а</w:t>
      </w:r>
    </w:p>
    <w:p>
      <w:pPr>
        <w:pStyle w:val="Style21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tyle17"/>
          <w:rFonts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Style w:val="Style17"/>
          <w:rFonts w:ascii="Times New Roman" w:hAnsi="Times New Roman"/>
          <w:i w:val="false"/>
          <w:iCs w:val="false"/>
          <w:sz w:val="24"/>
          <w:szCs w:val="24"/>
        </w:rPr>
        <w:t xml:space="preserve">3.4 </w:t>
      </w:r>
      <w:r>
        <w:rPr>
          <w:rStyle w:val="Style17"/>
          <w:rFonts w:ascii="Times New Roman" w:hAnsi="Times New Roman"/>
          <w:i w:val="false"/>
          <w:iCs w:val="false"/>
          <w:sz w:val="24"/>
          <w:szCs w:val="24"/>
        </w:rPr>
        <w:t>В нарушение п. 3 ст. 11 Федерального закона РФ 402 ФЗ от 06 декабря 2011 года «О бухгалтерском учете» и учетной политики перед составлением годовой бухгалтерской отчетности инвентаризация имущества проведена не в полном объеме, инвентаризация финансовых обязательств не проведена.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проверке не предоставлены результаты инвентаризации по забалансовым счетам.</w:t>
      </w:r>
    </w:p>
    <w:p>
      <w:pPr>
        <w:pStyle w:val="Style21"/>
        <w:bidi w:val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Style w:val="Style17"/>
          <w:rFonts w:ascii="Times New Roman" w:hAnsi="Times New Roman"/>
          <w:i w:val="false"/>
          <w:iCs w:val="false"/>
          <w:sz w:val="24"/>
          <w:szCs w:val="24"/>
        </w:rPr>
        <w:t>Не проводилась инвентаризация расчетов с подотчетными лицами, покупателями, поставщиками и прочими дебиторами и кредиторами.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обеспечения достоверности данных бухгалтерского учета и бухгалтерской отчетности, организации обязаны проводить инвентаризацию имущества и обязательств, в ходе которой проверяются и </w:t>
      </w:r>
      <w:r>
        <w:rPr>
          <w:rFonts w:ascii="Times New Roman" w:hAnsi="Times New Roman"/>
          <w:i w:val="false"/>
          <w:iCs w:val="false"/>
          <w:sz w:val="24"/>
          <w:szCs w:val="24"/>
        </w:rPr>
        <w:t>документально подтверждаются их наличие, состояние и оценка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Наличие данного нарушения может свидетельствовать о недостоверности данных бухгалтерского учета и отчетности.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3.5</w:t>
      </w:r>
      <w:r>
        <w:rPr>
          <w:rFonts w:ascii="Times New Roman" w:hAnsi="Times New Roman"/>
          <w:sz w:val="24"/>
          <w:szCs w:val="24"/>
        </w:rPr>
        <w:t xml:space="preserve">   В нарушение инструкци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№ 157н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учетной политике списание материальных запасов производилось на основании авансовых отчетов.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color w:val="0A0A0A"/>
          <w:sz w:val="24"/>
          <w:szCs w:val="24"/>
          <w:shd w:fill="FFFFFF" w:val="clear"/>
        </w:rPr>
        <w:t xml:space="preserve">плошное, непрерывное и полное отражение их движения (поступления, расхода, перемещения) </w:t>
      </w:r>
      <w:r>
        <w:rPr>
          <w:rFonts w:ascii="Times New Roman" w:hAnsi="Times New Roman"/>
          <w:color w:val="0A0A0A"/>
          <w:sz w:val="24"/>
          <w:szCs w:val="24"/>
          <w:shd w:fill="FFFFFF" w:val="clear"/>
        </w:rPr>
        <w:t>не обеспечено. Сумма нарушения составила 8335 рублей.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3.6 </w:t>
      </w:r>
      <w:r>
        <w:rPr>
          <w:rFonts w:ascii="Times New Roman" w:hAnsi="Times New Roman"/>
          <w:sz w:val="24"/>
          <w:szCs w:val="24"/>
        </w:rPr>
        <w:t xml:space="preserve">Приказом главного редактора от 28.12.2021г. № 22 работникам редакции, в том числе и главному редактору, назначена премия по итогам работы за 2020 год. Общая сумма премии по приказу составила 102641,6 рубль. Фактически выплачена премия в сумме 105663,88 рубля. Переплата составила 3022,28 рубля. </w:t>
      </w:r>
      <w:r>
        <w:rPr>
          <w:rFonts w:ascii="Times New Roman" w:hAnsi="Times New Roman"/>
          <w:sz w:val="24"/>
          <w:szCs w:val="24"/>
        </w:rPr>
        <w:t xml:space="preserve">Основания для выплаты премии главному редактору отсутствуют (нет распоряжения администрации). </w:t>
      </w:r>
      <w:r>
        <w:rPr>
          <w:rFonts w:ascii="Times New Roman" w:hAnsi="Times New Roman"/>
          <w:sz w:val="24"/>
          <w:szCs w:val="24"/>
        </w:rPr>
        <w:t xml:space="preserve">Нарушен пункт 5 Устава Редакции, </w:t>
      </w:r>
      <w:r>
        <w:rPr>
          <w:rFonts w:ascii="Times New Roman" w:hAnsi="Times New Roman"/>
          <w:sz w:val="24"/>
          <w:szCs w:val="24"/>
        </w:rPr>
        <w:t>сумма нарушения 39663,88 руб.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же,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соблюдается порядок формирования бухгалтерских операций </w:t>
      </w:r>
      <w:r>
        <w:rPr>
          <w:rFonts w:ascii="Times New Roman" w:hAnsi="Times New Roman"/>
          <w:sz w:val="24"/>
          <w:szCs w:val="24"/>
        </w:rPr>
        <w:t>по начислению заработной платы</w:t>
      </w:r>
      <w:r>
        <w:rPr>
          <w:rFonts w:ascii="Times New Roman" w:hAnsi="Times New Roman"/>
          <w:sz w:val="24"/>
          <w:szCs w:val="24"/>
        </w:rPr>
        <w:t xml:space="preserve"> и отражения их в регистрах бухгалтерского учета.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В нарушение п</w:t>
      </w:r>
      <w:r>
        <w:rPr>
          <w:rFonts w:ascii="Times New Roman" w:hAnsi="Times New Roman"/>
          <w:b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ункта</w:t>
      </w:r>
      <w:r>
        <w:rPr>
          <w:rFonts w:ascii="Times New Roman" w:hAnsi="Times New Roman"/>
          <w:b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 1 Приказа № 52н,Учреждением применялась учетная документация не по установленным формам, а именно, для учета рабочего времени вместо ф. 0504421 «Табель учета использования рабочего времени» применялась ф. 030100</w:t>
      </w:r>
      <w:r>
        <w:rPr>
          <w:rFonts w:ascii="Times New Roman" w:hAnsi="Times New Roman"/>
          <w:b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7</w:t>
      </w:r>
      <w:r>
        <w:rPr>
          <w:rFonts w:ascii="Times New Roman" w:hAnsi="Times New Roman"/>
          <w:b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 «Табель учета рабочего времени».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Расчётная ведомость по начислению заработной платы не соответствует ф. 0504402.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val="en-US"/>
        </w:rPr>
        <w:t xml:space="preserve">4.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val="en-US"/>
        </w:rPr>
        <w:t>Анализ сопоставимости данных бухгалтерского учета и сформированной на их основе отчетности</w:t>
      </w:r>
      <w:bookmarkStart w:id="1" w:name="_GoBack11"/>
      <w:bookmarkEnd w:id="1"/>
      <w:r>
        <w:rPr>
          <w:rFonts w:eastAsia="Times New Roman" w:cs="Arial" w:ascii="Times New Roman" w:hAnsi="Times New Roman"/>
          <w:color w:val="000000"/>
          <w:sz w:val="24"/>
          <w:szCs w:val="24"/>
          <w:lang w:val="en-US"/>
        </w:rPr>
        <w:t xml:space="preserve"> показал недостоверность годовой финансовой отчетности.</w:t>
      </w:r>
    </w:p>
    <w:p>
      <w:pPr>
        <w:pStyle w:val="Style21"/>
        <w:bidi w:val="0"/>
        <w:jc w:val="both"/>
        <w:rPr>
          <w:rFonts w:ascii="Times New Roman" w:hAnsi="Times New Roman" w:eastAsia="Times New Roman" w:cs="Arial"/>
          <w:color w:val="000000"/>
          <w:sz w:val="24"/>
          <w:szCs w:val="24"/>
          <w:lang w:val="en-US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val="en-US"/>
        </w:rPr>
      </w:r>
    </w:p>
    <w:p>
      <w:pPr>
        <w:pStyle w:val="Style21"/>
        <w:bidi w:val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 xml:space="preserve">2.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 xml:space="preserve">редседателем 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>Контрольно-счётн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 xml:space="preserve">ой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 xml:space="preserve"> палат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>ы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 xml:space="preserve"> Лазовского МО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>Недомовной Л.С.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 xml:space="preserve"> в Муниципального автономного  учреждения «Редакция газеты «Синегорье» (далее –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>учреждение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 xml:space="preserve">,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>Редакция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>)  проведена проверка соблюдения законодательства Российской Федерации и иных нормативных актов о   закупочной деятельности в соответствии с Федеральным законом от 18.07.2011 № 223-Ф3 «О закупках товаров, работ, услуг отдельными видами юридических лиц»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>.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 xml:space="preserve"> Проверка проведена по 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 xml:space="preserve"> п.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>2,4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 xml:space="preserve"> плана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 xml:space="preserve">работы КСП Лазовского МО на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 xml:space="preserve"> полугодие 2022г.</w:t>
      </w: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</w:rPr>
        <w:t>Период проверки:   январь  202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 xml:space="preserve"> года – декабрь 202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Arial" w:ascii="Times New Roman" w:hAnsi="Times New Roman"/>
          <w:color w:val="000000"/>
          <w:sz w:val="24"/>
          <w:szCs w:val="24"/>
        </w:rPr>
        <w:t xml:space="preserve"> года.  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" w:cs="Times New Roman" w:ascii="Times New Roman" w:hAnsi="Times New Roman"/>
          <w:b w:val="false"/>
          <w:bCs/>
          <w:color w:val="000000"/>
          <w:sz w:val="24"/>
          <w:szCs w:val="24"/>
          <w:shd w:fill="FFFFFF" w:val="clear"/>
          <w:lang w:eastAsia="zh-CN"/>
        </w:rPr>
        <w:t xml:space="preserve"> </w:t>
      </w:r>
      <w:r>
        <w:rPr>
          <w:rFonts w:eastAsia="Times New Roman" w:cs="Arial" w:ascii="Times New Roman" w:hAnsi="Times New Roman"/>
          <w:b/>
          <w:color w:val="000000"/>
          <w:sz w:val="24"/>
          <w:szCs w:val="24"/>
          <w:lang w:val="en-US"/>
        </w:rPr>
        <w:t xml:space="preserve">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Проверка  проведена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сплошным методом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, объем проверенных средств  составил  </w:t>
      </w:r>
      <w:r>
        <w:rPr>
          <w:rFonts w:eastAsia="SimSun" w:cs="Times New Roman" w:ascii="Times New Roman" w:hAnsi="Times New Roman"/>
          <w:b w:val="false"/>
          <w:bCs w:val="false"/>
          <w:color w:val="000000"/>
          <w:sz w:val="24"/>
          <w:szCs w:val="24"/>
          <w:lang w:val="en-US" w:eastAsia="zh-CN"/>
        </w:rPr>
        <w:t>817573,49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 рублей.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" w:ascii="Times New Roman" w:hAnsi="Times New Roman"/>
          <w:bCs/>
          <w:sz w:val="24"/>
          <w:szCs w:val="24"/>
          <w:lang w:eastAsia="zh-CN"/>
        </w:rPr>
        <w:t xml:space="preserve">   </w:t>
      </w:r>
      <w:r>
        <w:rPr>
          <w:rFonts w:eastAsia="SimSun" w:ascii="Times New Roman" w:hAnsi="Times New Roman"/>
          <w:bCs/>
          <w:sz w:val="24"/>
          <w:szCs w:val="24"/>
          <w:lang w:eastAsia="zh-CN"/>
        </w:rPr>
        <w:t xml:space="preserve">В ходе плановой проверки установлено, что </w:t>
      </w:r>
      <w:r>
        <w:rPr>
          <w:rFonts w:eastAsia="SimSun" w:cs="Aharoni" w:ascii="Times New Roman" w:hAnsi="Times New Roman"/>
          <w:b w:val="false"/>
          <w:bCs w:val="false"/>
          <w:sz w:val="24"/>
          <w:szCs w:val="24"/>
          <w:lang w:eastAsia="zh-CN"/>
        </w:rPr>
        <w:t>Муниципальным  автономным  учреждением  «Редакция газеты «Синегорье» Лазовского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eastAsia="SimSun" w:ascii="Times New Roman" w:hAnsi="Times New Roman"/>
          <w:bCs/>
          <w:sz w:val="24"/>
          <w:szCs w:val="24"/>
          <w:lang w:eastAsia="zh-CN"/>
        </w:rPr>
        <w:t xml:space="preserve">как муниципальным заказчиком, нарушены требования </w:t>
      </w:r>
      <w:r>
        <w:rPr>
          <w:rFonts w:ascii="Times New Roman" w:hAnsi="Times New Roman"/>
          <w:sz w:val="24"/>
          <w:szCs w:val="24"/>
        </w:rPr>
        <w:t>Федерального закона №223-ФЗ:</w:t>
      </w:r>
    </w:p>
    <w:tbl>
      <w:tblPr>
        <w:tblW w:w="9371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0"/>
        <w:gridCol w:w="1268"/>
        <w:gridCol w:w="1863"/>
      </w:tblGrid>
      <w:tr>
        <w:trPr>
          <w:trHeight w:val="300" w:hRule="atLeast"/>
        </w:trPr>
        <w:tc>
          <w:tcPr>
            <w:tcW w:w="6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Установленные нарушения законодательства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случаев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нарушений (руб.)</w:t>
            </w:r>
          </w:p>
        </w:tc>
      </w:tr>
      <w:tr>
        <w:trPr>
          <w:trHeight w:val="315" w:hRule="atLeast"/>
        </w:trPr>
        <w:tc>
          <w:tcPr>
            <w:tcW w:w="62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86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части 1 статьи 4 Федерального закона от 18.07.2011 № 223-ФЗ Положение о закупке, изменения, вносимые в указанное Положение не размещены в ЕИС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"/>
                <w:rFonts w:ascii="Times New Roman" w:hAnsi="Times New Roman"/>
                <w:b w:val="false"/>
                <w:bCs w:val="false"/>
                <w:sz w:val="24"/>
                <w:szCs w:val="24"/>
              </w:rPr>
              <w:t>0</w:t>
            </w:r>
          </w:p>
        </w:tc>
      </w:tr>
      <w:tr>
        <w:trPr>
          <w:trHeight w:val="500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В нарушение части 2 статьи 4 Федерального закона № 223-ФЗ заказчик разместил в ЕИС план закупки товаров, работ, услуг на срок не менее чем один год с нарушением срока. 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Style w:val="1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 нарушение части 3 статьи 4 Федерального закона № 223-ФЗ заказчик  не разместил план закупки инновационной продукции, высокотехнологической продукции, лекарственных средств в ЕИС на период от пяти до семи лет.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>
        <w:trPr>
          <w:trHeight w:val="500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пункта 5 статьи 161 и пункта 3 статьи 219 Бюджетного кодекса РФ, приняты бюджетные обязательства в размерах, превышающих утвержденные лимиты бюджетных обязательств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Style18"/>
                <w:rFonts w:ascii="Times New Roman" w:hAnsi="Times New Roman"/>
                <w:b w:val="false"/>
                <w:bCs w:val="false"/>
                <w:sz w:val="24"/>
                <w:szCs w:val="24"/>
              </w:rPr>
              <w:t>106891,28</w:t>
            </w:r>
          </w:p>
        </w:tc>
      </w:tr>
      <w:tr>
        <w:trPr>
          <w:trHeight w:val="500" w:hRule="atLeast"/>
        </w:trPr>
        <w:tc>
          <w:tcPr>
            <w:tcW w:w="6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Нарушено положение части 19 статьи 4 Закона №223-Ф3,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о количестве и стоимости договоров, заключенных заказчиком по результатам закупки у единственного поставщика (исполнителя, подрядчика) в проверяемом периоде не размещен в ЕИС , размещен с нарушением срока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658546,72</w:t>
            </w:r>
          </w:p>
        </w:tc>
      </w:tr>
      <w:tr>
        <w:trPr>
          <w:trHeight w:val="525" w:hRule="atLeast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Нарушение</w:t>
            </w:r>
            <w:r>
              <w:rPr>
                <w:rFonts w:eastAsia="Calibri"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статьеи 15 Федерального закона от 03.11.2006 № 174-ФЗ «Об автономных учреждениях»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751518,05</w:t>
            </w:r>
          </w:p>
        </w:tc>
      </w:tr>
      <w:tr>
        <w:trPr>
          <w:trHeight w:val="315" w:hRule="atLeast"/>
        </w:trPr>
        <w:tc>
          <w:tcPr>
            <w:tcW w:w="6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Нарушение </w:t>
            </w:r>
            <w:r>
              <w:rPr>
                <w:rFonts w:ascii="Times New Roman" w:hAnsi="Times New Roman"/>
                <w:sz w:val="24"/>
                <w:szCs w:val="24"/>
              </w:rPr>
              <w:t>статьи 34 БК РФ</w:t>
            </w:r>
          </w:p>
        </w:tc>
        <w:tc>
          <w:tcPr>
            <w:tcW w:w="126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</w:tr>
      <w:tr>
        <w:trPr>
          <w:trHeight w:val="315" w:hRule="atLeast"/>
        </w:trPr>
        <w:tc>
          <w:tcPr>
            <w:tcW w:w="6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6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2116956,05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Общая сумма выявленных нарушений составила 2116956,05 рублей.</w:t>
      </w:r>
    </w:p>
    <w:p>
      <w:pPr>
        <w:pStyle w:val="Normal"/>
        <w:bidi w:val="0"/>
        <w:jc w:val="both"/>
        <w:rPr>
          <w:rFonts w:ascii="Times New Roman" w:hAnsi="Times New Roman" w:eastAsia="Times New Roman" w:cs="Arial"/>
          <w:b/>
          <w:b/>
          <w:bCs/>
          <w:color w:val="000000"/>
          <w:sz w:val="24"/>
          <w:szCs w:val="24"/>
          <w:lang w:val="en-US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val="en-US"/>
        </w:rPr>
        <w:t>3.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en-US"/>
        </w:rPr>
        <w:t xml:space="preserve">Контрольное мероприятие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en-US" w:eastAsia="en-US"/>
        </w:rPr>
        <w:t xml:space="preserve">расходования в 2022 году бюджетных средств, выделенных на реализацию мероприятий Муниципальной программы Лазовского муниципального  округа  </w:t>
      </w:r>
      <w:r>
        <w:rPr>
          <w:rStyle w:val="Postbody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en-US" w:eastAsia="en-US"/>
        </w:rPr>
        <w:t>«Обеспечение жильем молодых семей Лазовского муниципального округа»  на 2021-2025 годы»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en-US" w:eastAsia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en-US"/>
        </w:rPr>
        <w:t>проведено в соответствии с планом работы Контрольно-счетной палаты на 2 полугодие 2022 года.</w:t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Контрольное мероприятие проведено в период с 15.11.2022 г. по 30.11.2022 г. председателем контрольно-счетной палаты Лазовского МО – Недомовной Л.С.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en-US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en-US"/>
        </w:rPr>
        <w:t>Контрольное мероприятие (далее проверка) проведено за период с 01 января 2021 г. по 30.09. 2022 г., объем проверенных средств за 2021г- 756000 рублей; за 2022г. - 1197000</w:t>
      </w:r>
      <w:r>
        <w:rPr>
          <w:rFonts w:eastAsia="Times New Roman" w:cs="Times New Roman" w:ascii="Times New Roman" w:hAnsi="Times New Roman"/>
          <w:b w:val="false"/>
          <w:bCs w:val="false"/>
          <w:color w:val="C9211E"/>
          <w:sz w:val="26"/>
          <w:szCs w:val="26"/>
          <w:lang w:val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en-US"/>
        </w:rPr>
        <w:t>рублей.</w:t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Выводы: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1. На реализацию подпрограммы «Обеспечение жильем молодых семей» федеральной целевой программы </w:t>
      </w:r>
      <w:r>
        <w:rPr>
          <w:rFonts w:cs="Times New Roman" w:ascii="Times New Roman" w:hAnsi="Times New Roman"/>
          <w:i w:val="false"/>
          <w:caps w:val="false"/>
          <w:smallCaps w:val="false"/>
          <w:color w:val="26282F"/>
          <w:spacing w:val="0"/>
          <w:sz w:val="26"/>
          <w:szCs w:val="26"/>
        </w:rPr>
        <w:t>"Обеспечение доступным и комфортным жильем и коммунальными услугами граждан Российской Федерации"</w:t>
      </w:r>
      <w:r>
        <w:rPr>
          <w:rFonts w:cs="Times New Roman" w:ascii="Times New Roman" w:hAnsi="Times New Roman"/>
          <w:sz w:val="26"/>
          <w:szCs w:val="26"/>
        </w:rPr>
        <w:t xml:space="preserve">       в 2021году направлено финансирование в общей сумме 756,0 тыс. рублей или 100% утвержденных бюджетных назначений, в 2022 году направлено финансирование в общей сумме 1197,0 тыс. рублей или 100% от суммы утвержденных бюджетных назначений.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За 2021 год 2 молодых семьи реализовали свидетельства о праве на получение социальной выплаты на приобретение жилого помещения, за 2022 год получили и использовали свидетельства – 2 молодых семьи (из них одна семья на индивидуальное строительство).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В нарушение п.4.8 Положения о комиссии в учетных делах молодых семей нет расчета обеспеченности  молодых семей общей площадью жилья в целях признания  их нуждающимися в жилых помещениях.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В нарушение п.4.6 Положения о комиссии учетным делам молодых семей  не присвоены номера.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5. </w:t>
      </w:r>
      <w:r>
        <w:rPr>
          <w:rStyle w:val="Postbody"/>
          <w:rFonts w:cs="Times New Roman" w:ascii="Times New Roman" w:hAnsi="Times New Roman"/>
          <w:sz w:val="26"/>
          <w:szCs w:val="26"/>
        </w:rPr>
        <w:t>В нарушение Порядка и  Положении о комиссии заявления молодых семей, поступившие в Центр  в 2020г. ,2021г.</w:t>
      </w:r>
      <w:r>
        <w:rPr>
          <w:rStyle w:val="Postbody"/>
          <w:rFonts w:cs="Times New Roman" w:ascii="Times New Roman" w:hAnsi="Times New Roman"/>
          <w:sz w:val="26"/>
          <w:szCs w:val="26"/>
          <w:lang w:val="ru-RU"/>
        </w:rPr>
        <w:t xml:space="preserve"> и </w:t>
      </w:r>
      <w:r>
        <w:rPr>
          <w:rStyle w:val="Postbody"/>
          <w:rFonts w:cs="Times New Roman" w:ascii="Times New Roman" w:hAnsi="Times New Roman"/>
          <w:sz w:val="26"/>
          <w:szCs w:val="26"/>
        </w:rPr>
        <w:t>2022г. рассмотрены с нарушением сроков.</w:t>
      </w:r>
    </w:p>
    <w:p>
      <w:pPr>
        <w:pStyle w:val="Normal"/>
        <w:bidi w:val="0"/>
        <w:jc w:val="both"/>
        <w:rPr>
          <w:rFonts w:ascii="Times New Roman" w:hAnsi="Times New Roman" w:eastAsia="Liberation Serif;Times New Roman" w:cs="Times New Roman"/>
          <w:b w:val="false"/>
          <w:b w:val="false"/>
          <w:bCs w:val="false"/>
          <w:sz w:val="26"/>
          <w:szCs w:val="26"/>
        </w:rPr>
      </w:pP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sz w:val="26"/>
          <w:szCs w:val="26"/>
        </w:rPr>
        <w:t>6. В нарушение пункта 4.14 Положения о комиссии молодым семьям выписки из протокола о признании или отказе в признании молодой семьи нуждающейся в жилых помещениях не направлялись, под роспись не вручались. Журнал регистрации выписок из протокола не ведется.</w:t>
      </w:r>
    </w:p>
    <w:p>
      <w:pPr>
        <w:pStyle w:val="Normal"/>
        <w:bidi w:val="0"/>
        <w:jc w:val="both"/>
        <w:rPr>
          <w:rFonts w:ascii="Times New Roman" w:hAnsi="Times New Roman" w:eastAsia="Liberation Serif;Times New Roman" w:cs="Times New Roman"/>
          <w:b w:val="false"/>
          <w:b w:val="false"/>
          <w:bCs w:val="false"/>
          <w:sz w:val="26"/>
          <w:szCs w:val="26"/>
        </w:rPr>
      </w:pP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sz w:val="26"/>
          <w:szCs w:val="26"/>
        </w:rPr>
        <w:t>7. В нарушение п.10 Порядка список молодых семей составлен Центром и утвержден главой администрации с нарушением срока.</w:t>
      </w:r>
    </w:p>
    <w:p>
      <w:pPr>
        <w:pStyle w:val="Normal"/>
        <w:bidi w:val="0"/>
        <w:jc w:val="both"/>
        <w:rPr>
          <w:rFonts w:eastAsia="Liberation Serif;Times New Roman" w:cs="Times New Roman"/>
          <w:b w:val="false"/>
          <w:b w:val="false"/>
          <w:bCs w:val="false"/>
          <w:color w:val="000000"/>
          <w:sz w:val="26"/>
          <w:szCs w:val="26"/>
          <w:lang w:val="en-US"/>
        </w:rPr>
      </w:pP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color w:val="000000"/>
          <w:sz w:val="26"/>
          <w:szCs w:val="26"/>
          <w:lang w:val="en-US"/>
        </w:rPr>
        <w:t>8. В нарушении пункта 25 Порядка  администрация Лазовского муниципального округа перечислила социальную выплату семье Д. позже положенного срока на 2 рабочих дня.</w:t>
      </w:r>
    </w:p>
    <w:p>
      <w:pPr>
        <w:pStyle w:val="Normal"/>
        <w:bidi w:val="0"/>
        <w:jc w:val="both"/>
        <w:rPr>
          <w:rFonts w:ascii="Times New Roman" w:hAnsi="Times New Roman" w:eastAsia="Liberation Serif;Times New Roman" w:cs="Times New Roman"/>
          <w:b w:val="false"/>
          <w:b w:val="false"/>
          <w:bCs w:val="false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Style w:val="Postbody"/>
          <w:rFonts w:eastAsia="Liberation Serif;Times New Roman" w:cs="Times New Roman" w:ascii="Times New Roman" w:hAnsi="Times New Roman"/>
          <w:b/>
          <w:bCs/>
          <w:color w:val="000000"/>
          <w:sz w:val="26"/>
          <w:szCs w:val="26"/>
          <w:lang w:val="en-US"/>
        </w:rPr>
        <w:t>4.</w:t>
      </w:r>
      <w:r>
        <w:rPr>
          <w:rStyle w:val="Postbody"/>
          <w:rFonts w:eastAsia="Liberation Serif;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 xml:space="preserve">В соответствии с Положением о Контрольно-счетной палате Лазовского МО (далее КСП), планом работы КСП на 2022 год, председателем Недомовной Л.С. проведена проверка целевого и эффективного использования средств окружного бюджета, выделенных в 2021-2022 годах на реализацию муниципальной подпрограммы </w:t>
      </w:r>
      <w:r>
        <w:rPr>
          <w:rStyle w:val="Postbody"/>
          <w:rFonts w:eastAsia="Liberation Serif;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 xml:space="preserve"> «Развитие градостроительной деятельности» муниципальной программы  "Экономическое  развитие  Лазовского муниципального  округа на  2021 - 2023 годы"</w:t>
      </w:r>
      <w:r>
        <w:rPr>
          <w:rStyle w:val="Postbody"/>
          <w:rFonts w:eastAsia="Liberation Serif;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>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проведения проверки – 01.12.2022 года;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проверки – 23.12.2022 года.</w:t>
      </w:r>
    </w:p>
    <w:p>
      <w:pPr>
        <w:pStyle w:val="Normal"/>
        <w:bidi w:val="0"/>
        <w:jc w:val="both"/>
        <w:rPr>
          <w:rFonts w:eastAsia="Liberation Serif;Times New Roman" w:cs="Times New Roman"/>
          <w:b w:val="false"/>
          <w:b w:val="false"/>
          <w:bCs w:val="false"/>
          <w:color w:val="000000"/>
          <w:lang w:val="en-US"/>
        </w:rPr>
      </w:pP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Цель проверки – управленческая деятельность администрации Лазовского муниципального округа и главных распорядителей бюджетных средств по обеспечению целевого и эффективного использования бюджетных средств, направленных в 2021-2022 году на финансирование муниципальной подпрограммы.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>
      <w:pPr>
        <w:pStyle w:val="Style21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В нарушение статьи 179 Бюджетного кодекса РФ Подпрограмма не была приведена в соответствие с решением о бюджете по объему финансирования. Сумма нарушения составила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>10146,94869 тыс. руб.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В нарушение условий контракта:</w:t>
      </w:r>
    </w:p>
    <w:p>
      <w:pPr>
        <w:pStyle w:val="Style21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Срок выполнения работ просрочен на 26 дней ( 30 ноября 2021г. срок сдачи; акт сдачи от 27.12.2021г. № 53);</w:t>
      </w:r>
    </w:p>
    <w:p>
      <w:pPr>
        <w:pStyle w:val="Style21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Экспертиза результатов, предусмотренных контрактом, заказчиком не проводилась.</w:t>
      </w:r>
    </w:p>
    <w:p>
      <w:pPr>
        <w:pStyle w:val="Style21"/>
        <w:bidi w:val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За просрочку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выполнения работ заказчик должен был начислить пени в сумме 4247,07 рублей.</w:t>
      </w:r>
    </w:p>
    <w:p>
      <w:pPr>
        <w:pStyle w:val="Style21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В нарушение статьи 25 ГрК РФ главой  администрации муниципального округа  не принято решение о создании согласительной комиссии.   </w:t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5. </w:t>
      </w: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en-US"/>
        </w:rPr>
        <w:t>В нарушение статьи 25 ГрК РФ н</w:t>
      </w: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en-US"/>
        </w:rPr>
        <w:t xml:space="preserve">а момент проверки генеральный план муниципального округа не согласован, не утвержден главой Лазовского муниципального округа. </w:t>
      </w: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br/>
        <w:t xml:space="preserve">6. </w:t>
      </w: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en-US"/>
        </w:rPr>
        <w:t>В нарушение статьи 34 БК РФ п</w:t>
      </w: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en-US"/>
        </w:rPr>
        <w:t>ринцип эффективности использования бюджетных средств не достигнут.</w:t>
      </w:r>
    </w:p>
    <w:p>
      <w:pPr>
        <w:pStyle w:val="Style21"/>
        <w:bidi w:val="0"/>
        <w:jc w:val="both"/>
        <w:rPr>
          <w:rFonts w:eastAsia="Liberation Serif;Times New Roman" w:cs="Times New Roman"/>
          <w:b w:val="false"/>
          <w:b w:val="false"/>
          <w:bCs w:val="false"/>
          <w:color w:val="000000"/>
          <w:shd w:fill="FFFFFF" w:val="clear"/>
          <w:lang w:val="en-US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1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Style w:val="Postbody"/>
          <w:rFonts w:eastAsia="Liberation Serif;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val="en-US"/>
        </w:rPr>
        <w:t>5.</w:t>
      </w:r>
      <w:r>
        <w:rPr>
          <w:rStyle w:val="Postbody"/>
          <w:rFonts w:eastAsia="Liberation Serif;Times New Roman" w:cs="Times New Roman" w:ascii="Times New Roman" w:hAnsi="Times New Roman"/>
          <w:b/>
          <w:bCs/>
          <w:color w:val="000000"/>
          <w:sz w:val="26"/>
          <w:szCs w:val="26"/>
          <w:shd w:fill="FFFFFF" w:val="clear"/>
          <w:lang w:val="en-US"/>
        </w:rPr>
        <w:t>В соответствии с Положением о Контрольно-счетной палате Лазовского МО (далее КСП), планом работы КСП на 2022 год, председателем Недомовной Л.С. проведена проверка целевого и эффективного использования средств окружного бюджета, выделенных в 2021-2022 годах на реализацию муниципальной подпрограммы «Развитие и поддержка малого и среднего предпринимательства  на территории Лазовского муниципального округа на 2021-2023 годы» муниципальной программы « Экономическое развитие Лазовского муниципального округа на 2021-2023 годы».</w:t>
      </w:r>
    </w:p>
    <w:p>
      <w:pPr>
        <w:pStyle w:val="Style21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Начало проведения проверки – 01.12.2022 года;</w:t>
      </w:r>
    </w:p>
    <w:p>
      <w:pPr>
        <w:pStyle w:val="Style21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Окончание проверки – 07.12.2022 года.</w:t>
      </w:r>
    </w:p>
    <w:p>
      <w:pPr>
        <w:pStyle w:val="Style21"/>
        <w:bidi w:val="0"/>
        <w:jc w:val="both"/>
        <w:rPr>
          <w:rFonts w:eastAsia="Liberation Serif;Times New Roman" w:cs="Times New Roman"/>
          <w:b w:val="false"/>
          <w:b w:val="false"/>
          <w:bCs w:val="false"/>
          <w:color w:val="000000"/>
          <w:sz w:val="26"/>
          <w:szCs w:val="26"/>
          <w:shd w:fill="FFFFFF" w:val="clear"/>
          <w:lang w:val="en-US"/>
        </w:rPr>
      </w:pP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color w:val="000000"/>
          <w:sz w:val="26"/>
          <w:szCs w:val="26"/>
          <w:shd w:fill="FFFFFF" w:val="clear"/>
          <w:lang w:val="en-US"/>
        </w:rPr>
        <w:t>Цель проверки – управленческая деятельность администрации Лазовского муниципального округа и главных распорядителей бюджетных средств по обеспечению целевого и эффективного использования бюджетных средств, направленных в 2021-2022 году на финансирование муниципальной подпрограммы.</w:t>
      </w:r>
    </w:p>
    <w:p>
      <w:pPr>
        <w:pStyle w:val="Style21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Выводы:</w:t>
      </w:r>
    </w:p>
    <w:p>
      <w:pPr>
        <w:pStyle w:val="Style21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2021 году израсходовано на реализацию Подпрограммы 380,0 тыс. рублей. Все мероприятия Подпрограммы выполнены в срок.</w:t>
      </w:r>
    </w:p>
    <w:p>
      <w:pPr>
        <w:pStyle w:val="Style21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2022 году израсходовано на реализацию Подпрограммы 300,0 тыс. рублей. Все мероприятия Подпрограммы выполнены в срок.</w:t>
      </w:r>
    </w:p>
    <w:p>
      <w:pPr>
        <w:pStyle w:val="Style21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Суммарное значение критериев оценки эффективности составило 91%, в результате качественная характеристика муниципальной программы – эффективная.</w:t>
      </w:r>
    </w:p>
    <w:p>
      <w:pPr>
        <w:pStyle w:val="Style21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Style w:val="Postbody"/>
          <w:rFonts w:eastAsia="Liberation Serif;Times New Roman" w:cs="Times New Roman" w:ascii="Times New Roman" w:hAnsi="Times New Roman"/>
          <w:b/>
          <w:bCs/>
          <w:color w:val="000000"/>
          <w:sz w:val="26"/>
          <w:szCs w:val="26"/>
          <w:shd w:fill="FFFFFF" w:val="clear"/>
          <w:lang w:val="en-US"/>
        </w:rPr>
        <w:t xml:space="preserve">6. </w:t>
      </w:r>
      <w:r>
        <w:rPr>
          <w:rStyle w:val="Postbody"/>
          <w:rFonts w:eastAsia="Liberation Serif;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val="en-US"/>
        </w:rPr>
        <w:t>Акт по результатам проверки соблюдения законодательства при назначении, начислении и выплате муниципальной пенсии  муниципальных служащих в  администрации Лазовского муниципального округа.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Основание проведения проверки: определение Лазовского районного суда по делу судебного разбирательства </w:t>
      </w:r>
      <w:r>
        <w:rPr>
          <w:rStyle w:val="Postbody"/>
          <w:rFonts w:eastAsia="Liberation Serif;Times New Roman" w:cs="Segoe UI Symbol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>№</w:t>
      </w: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 2-416/2022, пункт 2.6 плана работы контрольно-счетной палаты на 2022 год.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В нарушении пункта    2.2 Положения </w:t>
      </w:r>
      <w:r>
        <w:rPr>
          <w:rFonts w:cs="Segoe UI Symbol"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322,    пункта 3 части 1 статьи 33 </w:t>
      </w:r>
      <w:hyperlink r:id="rId4">
        <w:r>
          <w:rPr>
            <w:rFonts w:cs="Liberation Serif" w:ascii="Times New Roman" w:hAnsi="Times New Roman"/>
            <w:color w:val="000000"/>
            <w:sz w:val="24"/>
            <w:szCs w:val="24"/>
            <w:u w:val="none"/>
          </w:rPr>
          <w:t xml:space="preserve">Федерального закона от 27.07.2004 N 79-ФЗ (ред. от 05.12.2022) </w:t>
        </w:r>
      </w:hyperlink>
      <w:hyperlink r:id="rId5">
        <w:r>
          <w:rPr>
            <w:rFonts w:cs="Liberation Serif" w:ascii="Times New Roman" w:hAnsi="Times New Roman"/>
            <w:color w:val="000000"/>
            <w:sz w:val="24"/>
            <w:szCs w:val="24"/>
            <w:u w:val="none"/>
          </w:rPr>
          <w:t>"</w:t>
        </w:r>
      </w:hyperlink>
      <w:hyperlink r:id="rId6">
        <w:r>
          <w:rPr>
            <w:rFonts w:ascii="Times New Roman" w:hAnsi="Times New Roman"/>
            <w:color w:val="000000"/>
            <w:sz w:val="24"/>
            <w:szCs w:val="24"/>
            <w:u w:val="none"/>
          </w:rPr>
          <w:t>О</w:t>
        </w:r>
      </w:hyperlink>
      <w:hyperlink r:id="rId7">
        <w:r>
          <w:rPr>
            <w:rFonts w:cs="Liberation Serif" w:ascii="Times New Roman" w:hAnsi="Times New Roman"/>
            <w:color w:val="000000"/>
            <w:sz w:val="24"/>
            <w:szCs w:val="24"/>
            <w:u w:val="none"/>
          </w:rPr>
          <w:t xml:space="preserve"> </w:t>
        </w:r>
      </w:hyperlink>
      <w:hyperlink r:id="rId8">
        <w:r>
          <w:rPr>
            <w:rFonts w:ascii="Times New Roman" w:hAnsi="Times New Roman"/>
            <w:color w:val="000000"/>
            <w:sz w:val="24"/>
            <w:szCs w:val="24"/>
            <w:u w:val="none"/>
          </w:rPr>
          <w:t>государственной</w:t>
        </w:r>
      </w:hyperlink>
      <w:hyperlink r:id="rId9">
        <w:r>
          <w:rPr>
            <w:rFonts w:cs="Liberation Serif" w:ascii="Times New Roman" w:hAnsi="Times New Roman"/>
            <w:color w:val="000000"/>
            <w:sz w:val="24"/>
            <w:szCs w:val="24"/>
            <w:u w:val="none"/>
          </w:rPr>
          <w:t xml:space="preserve"> </w:t>
        </w:r>
      </w:hyperlink>
      <w:hyperlink r:id="rId10">
        <w:r>
          <w:rPr>
            <w:rFonts w:ascii="Times New Roman" w:hAnsi="Times New Roman"/>
            <w:color w:val="000000"/>
            <w:sz w:val="24"/>
            <w:szCs w:val="24"/>
            <w:u w:val="none"/>
          </w:rPr>
          <w:t>гражданской</w:t>
        </w:r>
      </w:hyperlink>
      <w:hyperlink r:id="rId11">
        <w:r>
          <w:rPr>
            <w:rFonts w:cs="Liberation Serif" w:ascii="Times New Roman" w:hAnsi="Times New Roman"/>
            <w:color w:val="000000"/>
            <w:sz w:val="24"/>
            <w:szCs w:val="24"/>
            <w:u w:val="none"/>
          </w:rPr>
          <w:t xml:space="preserve"> </w:t>
        </w:r>
      </w:hyperlink>
      <w:hyperlink r:id="rId12">
        <w:r>
          <w:rPr>
            <w:rFonts w:ascii="Times New Roman" w:hAnsi="Times New Roman"/>
            <w:color w:val="000000"/>
            <w:sz w:val="24"/>
            <w:szCs w:val="24"/>
            <w:u w:val="none"/>
          </w:rPr>
          <w:t>службе</w:t>
        </w:r>
      </w:hyperlink>
      <w:hyperlink r:id="rId13">
        <w:r>
          <w:rPr>
            <w:rFonts w:cs="Liberation Serif" w:ascii="Times New Roman" w:hAnsi="Times New Roman"/>
            <w:color w:val="000000"/>
            <w:sz w:val="24"/>
            <w:szCs w:val="24"/>
            <w:u w:val="none"/>
          </w:rPr>
          <w:t xml:space="preserve"> </w:t>
        </w:r>
      </w:hyperlink>
      <w:hyperlink r:id="rId14">
        <w:r>
          <w:rPr>
            <w:rFonts w:ascii="Times New Roman" w:hAnsi="Times New Roman"/>
            <w:color w:val="000000"/>
            <w:sz w:val="24"/>
            <w:szCs w:val="24"/>
            <w:u w:val="none"/>
          </w:rPr>
          <w:t>Российской</w:t>
        </w:r>
      </w:hyperlink>
      <w:hyperlink r:id="rId15">
        <w:r>
          <w:rPr>
            <w:rFonts w:cs="Liberation Serif" w:ascii="Times New Roman" w:hAnsi="Times New Roman"/>
            <w:color w:val="000000"/>
            <w:sz w:val="24"/>
            <w:szCs w:val="24"/>
            <w:u w:val="none"/>
          </w:rPr>
          <w:t xml:space="preserve"> </w:t>
        </w:r>
      </w:hyperlink>
      <w:hyperlink r:id="rId16">
        <w:r>
          <w:rPr>
            <w:rFonts w:ascii="Times New Roman" w:hAnsi="Times New Roman"/>
            <w:color w:val="000000"/>
            <w:sz w:val="24"/>
            <w:szCs w:val="24"/>
            <w:u w:val="none"/>
          </w:rPr>
          <w:t>Федерации</w:t>
        </w:r>
      </w:hyperlink>
      <w:hyperlink r:id="rId17">
        <w:r>
          <w:rPr>
            <w:rFonts w:cs="Liberation Serif" w:ascii="Times New Roman" w:hAnsi="Times New Roman"/>
            <w:color w:val="000000"/>
            <w:sz w:val="24"/>
            <w:szCs w:val="24"/>
            <w:u w:val="none"/>
          </w:rPr>
          <w:t>"</w:t>
        </w:r>
      </w:hyperlink>
      <w:r>
        <w:rPr>
          <w:rFonts w:ascii="Times New Roman" w:hAnsi="Times New Roman"/>
          <w:color w:val="000000"/>
          <w:sz w:val="24"/>
          <w:szCs w:val="24"/>
          <w:u w:val="none"/>
          <w:shd w:fill="FFFFFF" w:val="clear"/>
        </w:rPr>
        <w:t>,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статьи 7 </w:t>
      </w:r>
      <w:r>
        <w:rPr>
          <w:rFonts w:ascii="Times New Roman" w:hAnsi="Times New Roman"/>
          <w:color w:val="22272F"/>
          <w:sz w:val="24"/>
          <w:szCs w:val="24"/>
          <w:shd w:fill="FFFFFF" w:val="clear"/>
        </w:rPr>
        <w:t>Федерального закона от 15 декабря 2001 г. N 166-ФЗ"О государственном пенсионном обеспечении в Российской Федерации"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М.    неправомерно назначена муниципальная пенсия до приобретения права на страховую пенсию по старости (инвалидности).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переплаты пенсии с 01.04.2018г. до 01.07.2018 г    составила 70902,72 руб.(23634,24*3мес.).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Правовое регулирование дополнительного пенсионного обеспечения муниципальных служащих, осуществляемого за счёт средств местного бюджета, отнесено к компетенции органов местного самоуправления.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 xml:space="preserve"> Положением № 208 или другими нормативными актами  перерасчет пенсии за выслугу лет уволенным лицам, замещавшим муниципальные должности в Лазовском муниципальном округе, при изменении размера пенсии за выслугу лет,  не предусмотрен.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4. Оснований, для перерасчёта размера пенсии  </w:t>
      </w:r>
      <w:r>
        <w:rPr>
          <w:rStyle w:val="Postbody"/>
          <w:rFonts w:eastAsia="Liberation Serif;Times New Roman" w:cs="Times New Roman" w:ascii="Times New Roman" w:hAnsi="Times New Roman"/>
          <w:b w:val="false"/>
          <w:bCs w:val="false"/>
          <w:color w:val="333333"/>
          <w:sz w:val="24"/>
          <w:szCs w:val="24"/>
          <w:shd w:fill="FFFFFF" w:val="clear"/>
          <w:lang w:val="en-US"/>
        </w:rPr>
        <w:t>за выслугу лет с 29 сентября 2021 г. по Положению № 208 первому заместителю главы  Лазовского муниципального округа  М  нет.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49"/>
        </w:tabs>
        <w:ind w:left="184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09"/>
        </w:tabs>
        <w:ind w:left="220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29"/>
        </w:tabs>
        <w:ind w:left="292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89"/>
        </w:tabs>
        <w:ind w:left="328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09"/>
        </w:tabs>
        <w:ind w:left="400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69"/>
        </w:tabs>
        <w:ind w:left="4369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Style15">
    <w:name w:val="FollowedHyperlink"/>
    <w:rPr>
      <w:color w:val="800080"/>
      <w:u w:val="single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Style17">
    <w:name w:val="Emphasis"/>
    <w:qFormat/>
    <w:rPr>
      <w:i/>
      <w:iCs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Segoe UI" w:cs="Tahoma"/>
      <w:b/>
      <w:bCs/>
      <w:color w:val="365F91"/>
      <w:sz w:val="28"/>
      <w:szCs w:val="28"/>
    </w:rPr>
  </w:style>
  <w:style w:type="character" w:styleId="Style18">
    <w:name w:val="Strong"/>
    <w:qFormat/>
    <w:rPr>
      <w:b/>
      <w:bCs/>
    </w:rPr>
  </w:style>
  <w:style w:type="character" w:styleId="Style19">
    <w:name w:val="Основной шрифт абзаца"/>
    <w:qFormat/>
    <w:rPr/>
  </w:style>
  <w:style w:type="character" w:styleId="Postbody">
    <w:name w:val="postbody"/>
    <w:basedOn w:val="Style19"/>
    <w:qFormat/>
    <w:rPr>
      <w:rFonts w:cs="Times New Roman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095EB26F9DC035B41D3392841E9C649DB282068811D1843A0696FC954BCB566945DA08A3DBF46ACA24049031001B3B1ADBD6471DA697295E9B1G" TargetMode="External"/><Relationship Id="rId3" Type="http://schemas.openxmlformats.org/officeDocument/2006/relationships/hyperlink" Target="consultantplus://offline/ref=2095EB26F9DC035B41D3392841E9C649DB282068811D1843A0696FC954BCB566945DA08A3DBF47A5A94049031001B3B1ADBD6471DA697295E9B1G" TargetMode="External"/><Relationship Id="rId4" Type="http://schemas.openxmlformats.org/officeDocument/2006/relationships/hyperlink" Target="https://www.consultant.ru/document/cons_doc_LAW_48601/" TargetMode="External"/><Relationship Id="rId5" Type="http://schemas.openxmlformats.org/officeDocument/2006/relationships/hyperlink" Target="https://www.consultant.ru/document/cons_doc_LAW_48601/" TargetMode="External"/><Relationship Id="rId6" Type="http://schemas.openxmlformats.org/officeDocument/2006/relationships/hyperlink" Target="https://www.consultant.ru/document/cons_doc_LAW_48601/" TargetMode="External"/><Relationship Id="rId7" Type="http://schemas.openxmlformats.org/officeDocument/2006/relationships/hyperlink" Target="https://www.consultant.ru/document/cons_doc_LAW_48601/" TargetMode="External"/><Relationship Id="rId8" Type="http://schemas.openxmlformats.org/officeDocument/2006/relationships/hyperlink" Target="https://www.consultant.ru/document/cons_doc_LAW_48601/" TargetMode="External"/><Relationship Id="rId9" Type="http://schemas.openxmlformats.org/officeDocument/2006/relationships/hyperlink" Target="https://www.consultant.ru/document/cons_doc_LAW_48601/" TargetMode="External"/><Relationship Id="rId10" Type="http://schemas.openxmlformats.org/officeDocument/2006/relationships/hyperlink" Target="https://www.consultant.ru/document/cons_doc_LAW_48601/" TargetMode="External"/><Relationship Id="rId11" Type="http://schemas.openxmlformats.org/officeDocument/2006/relationships/hyperlink" Target="https://www.consultant.ru/document/cons_doc_LAW_48601/" TargetMode="External"/><Relationship Id="rId12" Type="http://schemas.openxmlformats.org/officeDocument/2006/relationships/hyperlink" Target="https://www.consultant.ru/document/cons_doc_LAW_48601/" TargetMode="External"/><Relationship Id="rId13" Type="http://schemas.openxmlformats.org/officeDocument/2006/relationships/hyperlink" Target="https://www.consultant.ru/document/cons_doc_LAW_48601/" TargetMode="External"/><Relationship Id="rId14" Type="http://schemas.openxmlformats.org/officeDocument/2006/relationships/hyperlink" Target="https://www.consultant.ru/document/cons_doc_LAW_48601/" TargetMode="External"/><Relationship Id="rId15" Type="http://schemas.openxmlformats.org/officeDocument/2006/relationships/hyperlink" Target="https://www.consultant.ru/document/cons_doc_LAW_48601/" TargetMode="External"/><Relationship Id="rId16" Type="http://schemas.openxmlformats.org/officeDocument/2006/relationships/hyperlink" Target="https://www.consultant.ru/document/cons_doc_LAW_48601/" TargetMode="External"/><Relationship Id="rId17" Type="http://schemas.openxmlformats.org/officeDocument/2006/relationships/hyperlink" Target="https://www.consultant.ru/document/cons_doc_LAW_48601/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LibreOffice/7.4.5.1$Linux_X86_64 LibreOffice_project/40$Build-1</Application>
  <AppVersion>15.0000</AppVersion>
  <Pages>7</Pages>
  <Words>1988</Words>
  <Characters>13407</Characters>
  <CharactersWithSpaces>15485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2023-01-13T10:04:23Z</dcterms:created>
  <dc:creator/>
  <dc:description/>
  <dc:language>ru-RU</dc:language>
  <cp:lastModifiedBy>Денис Викторович Шестера</cp:lastModifiedBy>
  <dcterms:modified xsi:type="dcterms:W3CDTF">2023-02-10T15:45:57Z</dcterms:modified>
  <cp:revision>4</cp:revision>
  <dc:subject/>
  <dc:title/>
</cp:coreProperties>
</file>